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523" w:rsidRPr="00030313" w:rsidRDefault="00771CC8">
      <w:pPr>
        <w:widowControl w:val="0"/>
        <w:autoSpaceDE w:val="0"/>
        <w:autoSpaceDN w:val="0"/>
        <w:adjustRightInd w:val="0"/>
        <w:spacing w:after="0" w:line="240" w:lineRule="auto"/>
        <w:rPr>
          <w:rFonts w:ascii="Times New Roman" w:hAnsi="Times New Roman"/>
          <w:sz w:val="28"/>
          <w:szCs w:val="28"/>
        </w:rPr>
      </w:pPr>
      <w:bookmarkStart w:id="0" w:name="_GoBack"/>
      <w:bookmarkEnd w:id="0"/>
      <w:r w:rsidRPr="00030313">
        <w:rPr>
          <w:rFonts w:ascii="Times New Roman" w:hAnsi="Times New Roman"/>
          <w:sz w:val="28"/>
          <w:szCs w:val="24"/>
        </w:rPr>
        <w:t xml:space="preserve"> </w:t>
      </w:r>
    </w:p>
    <w:p w:rsidR="00BA7523" w:rsidRPr="00030313" w:rsidRDefault="00BA7523">
      <w:pPr>
        <w:widowControl w:val="0"/>
        <w:autoSpaceDE w:val="0"/>
        <w:autoSpaceDN w:val="0"/>
        <w:adjustRightInd w:val="0"/>
        <w:spacing w:after="0" w:line="240" w:lineRule="auto"/>
        <w:rPr>
          <w:rFonts w:ascii="Times New Roman" w:hAnsi="Times New Roman"/>
          <w:sz w:val="28"/>
          <w:szCs w:val="28"/>
        </w:rPr>
      </w:pPr>
    </w:p>
    <w:p w:rsidR="00BA7523" w:rsidRPr="00030313" w:rsidRDefault="00771CC8">
      <w:pPr>
        <w:widowControl w:val="0"/>
        <w:autoSpaceDE w:val="0"/>
        <w:autoSpaceDN w:val="0"/>
        <w:adjustRightInd w:val="0"/>
        <w:spacing w:after="0" w:line="240" w:lineRule="auto"/>
        <w:jc w:val="center"/>
        <w:rPr>
          <w:rFonts w:ascii="Times New Roman" w:hAnsi="Times New Roman"/>
          <w:b/>
          <w:bCs/>
          <w:sz w:val="28"/>
          <w:szCs w:val="28"/>
        </w:rPr>
      </w:pPr>
      <w:r w:rsidRPr="00030313">
        <w:rPr>
          <w:rFonts w:ascii="Times New Roman" w:hAnsi="Times New Roman"/>
          <w:b/>
          <w:bCs/>
          <w:sz w:val="28"/>
          <w:szCs w:val="28"/>
        </w:rPr>
        <w:t xml:space="preserve">TEMAS-SUBTEMAS </w:t>
      </w:r>
    </w:p>
    <w:p w:rsidR="00BA7523" w:rsidRPr="00030313" w:rsidRDefault="00BA7523">
      <w:pPr>
        <w:widowControl w:val="0"/>
        <w:autoSpaceDE w:val="0"/>
        <w:autoSpaceDN w:val="0"/>
        <w:adjustRightInd w:val="0"/>
        <w:spacing w:after="0" w:line="240" w:lineRule="auto"/>
        <w:jc w:val="center"/>
        <w:rPr>
          <w:rFonts w:ascii="Times New Roman" w:hAnsi="Times New Roman"/>
          <w:b/>
          <w:bCs/>
          <w:sz w:val="28"/>
          <w:szCs w:val="28"/>
        </w:rPr>
      </w:pPr>
    </w:p>
    <w:p w:rsidR="00BA7523" w:rsidRPr="00030313" w:rsidRDefault="00771CC8">
      <w:pPr>
        <w:widowControl w:val="0"/>
        <w:autoSpaceDE w:val="0"/>
        <w:autoSpaceDN w:val="0"/>
        <w:adjustRightInd w:val="0"/>
        <w:spacing w:after="0" w:line="240" w:lineRule="auto"/>
        <w:jc w:val="center"/>
        <w:rPr>
          <w:rFonts w:ascii="Times New Roman" w:hAnsi="Times New Roman"/>
          <w:sz w:val="28"/>
          <w:szCs w:val="28"/>
        </w:rPr>
      </w:pPr>
      <w:r w:rsidRPr="00030313">
        <w:rPr>
          <w:rFonts w:ascii="Times New Roman" w:hAnsi="Times New Roman"/>
          <w:b/>
          <w:bCs/>
          <w:sz w:val="28"/>
          <w:szCs w:val="28"/>
        </w:rPr>
        <w:t xml:space="preserve">Sentencia T-527/24 </w:t>
      </w:r>
    </w:p>
    <w:p w:rsidR="00BA7523" w:rsidRPr="00030313" w:rsidRDefault="00BA7523">
      <w:pPr>
        <w:widowControl w:val="0"/>
        <w:autoSpaceDE w:val="0"/>
        <w:autoSpaceDN w:val="0"/>
        <w:adjustRightInd w:val="0"/>
        <w:spacing w:after="0" w:line="240" w:lineRule="auto"/>
        <w:jc w:val="both"/>
        <w:rPr>
          <w:rFonts w:ascii="Times New Roman" w:hAnsi="Times New Roman"/>
          <w:sz w:val="28"/>
          <w:szCs w:val="28"/>
        </w:rPr>
      </w:pPr>
    </w:p>
    <w:p w:rsidR="00BA7523" w:rsidRPr="00030313" w:rsidRDefault="00771CC8">
      <w:pPr>
        <w:widowControl w:val="0"/>
        <w:autoSpaceDE w:val="0"/>
        <w:autoSpaceDN w:val="0"/>
        <w:adjustRightInd w:val="0"/>
        <w:spacing w:after="0" w:line="240" w:lineRule="auto"/>
        <w:jc w:val="both"/>
        <w:rPr>
          <w:rFonts w:ascii="Times New Roman" w:hAnsi="Times New Roman"/>
          <w:sz w:val="28"/>
          <w:szCs w:val="28"/>
        </w:rPr>
      </w:pPr>
      <w:r w:rsidRPr="00030313">
        <w:rPr>
          <w:rFonts w:ascii="Times New Roman" w:hAnsi="Times New Roman"/>
          <w:b/>
          <w:bCs/>
          <w:sz w:val="28"/>
          <w:szCs w:val="28"/>
        </w:rPr>
        <w:t>DERECHO A LA PERSONALIDAD JURÍDICA E IDENTIDAD DE GÉNERO DIVERSA</w:t>
      </w:r>
      <w:r w:rsidRPr="00030313">
        <w:rPr>
          <w:rFonts w:ascii="Times New Roman" w:hAnsi="Times New Roman"/>
          <w:sz w:val="28"/>
          <w:szCs w:val="28"/>
        </w:rPr>
        <w:t>-Reconocimiento en documentos de identificación</w:t>
      </w:r>
    </w:p>
    <w:p w:rsidR="00BA7523" w:rsidRPr="00030313" w:rsidRDefault="00BA7523">
      <w:pPr>
        <w:widowControl w:val="0"/>
        <w:autoSpaceDE w:val="0"/>
        <w:autoSpaceDN w:val="0"/>
        <w:adjustRightInd w:val="0"/>
        <w:spacing w:after="0" w:line="240" w:lineRule="auto"/>
        <w:jc w:val="both"/>
        <w:rPr>
          <w:rFonts w:ascii="Times New Roman" w:hAnsi="Times New Roman"/>
          <w:sz w:val="28"/>
          <w:szCs w:val="28"/>
        </w:rPr>
      </w:pPr>
    </w:p>
    <w:p w:rsidR="00BA7523" w:rsidRPr="00030313" w:rsidRDefault="00771CC8">
      <w:pPr>
        <w:widowControl w:val="0"/>
        <w:autoSpaceDE w:val="0"/>
        <w:autoSpaceDN w:val="0"/>
        <w:adjustRightInd w:val="0"/>
        <w:spacing w:after="0" w:line="240" w:lineRule="auto"/>
        <w:jc w:val="both"/>
        <w:rPr>
          <w:rFonts w:ascii="Times New Roman" w:hAnsi="Times New Roman"/>
          <w:sz w:val="28"/>
          <w:szCs w:val="28"/>
        </w:rPr>
      </w:pPr>
      <w:r w:rsidRPr="00030313">
        <w:rPr>
          <w:rFonts w:ascii="Times New Roman" w:hAnsi="Times New Roman"/>
          <w:i/>
          <w:iCs/>
          <w:sz w:val="28"/>
          <w:szCs w:val="28"/>
        </w:rPr>
        <w:t>(...) al omitir la introducción del marcador de género “No Binario” en la cédula de ciudadanía digital, la Registraduría contravino el precedente judicial de esta Corporación establecido en la Sentencia T-033 de 2022.</w:t>
      </w:r>
    </w:p>
    <w:p w:rsidR="00BA7523" w:rsidRPr="00030313" w:rsidRDefault="00BA7523">
      <w:pPr>
        <w:widowControl w:val="0"/>
        <w:autoSpaceDE w:val="0"/>
        <w:autoSpaceDN w:val="0"/>
        <w:adjustRightInd w:val="0"/>
        <w:spacing w:after="0" w:line="240" w:lineRule="auto"/>
        <w:jc w:val="both"/>
        <w:rPr>
          <w:rFonts w:ascii="Times New Roman" w:hAnsi="Times New Roman"/>
          <w:sz w:val="28"/>
          <w:szCs w:val="28"/>
        </w:rPr>
      </w:pPr>
    </w:p>
    <w:p w:rsidR="00BA7523" w:rsidRPr="00030313" w:rsidRDefault="00771CC8">
      <w:pPr>
        <w:widowControl w:val="0"/>
        <w:autoSpaceDE w:val="0"/>
        <w:autoSpaceDN w:val="0"/>
        <w:adjustRightInd w:val="0"/>
        <w:spacing w:after="0" w:line="240" w:lineRule="auto"/>
        <w:jc w:val="both"/>
        <w:rPr>
          <w:rFonts w:ascii="Times New Roman" w:hAnsi="Times New Roman"/>
          <w:sz w:val="28"/>
          <w:szCs w:val="28"/>
        </w:rPr>
      </w:pPr>
      <w:r w:rsidRPr="00030313">
        <w:rPr>
          <w:rFonts w:ascii="Times New Roman" w:hAnsi="Times New Roman"/>
          <w:b/>
          <w:bCs/>
          <w:sz w:val="28"/>
          <w:szCs w:val="28"/>
        </w:rPr>
        <w:t>DERECHO A LA PERSONALIDAD JURÍDICA E IDENTIDAD DE GÉNERO DIVERSA</w:t>
      </w:r>
      <w:r w:rsidRPr="00030313">
        <w:rPr>
          <w:rFonts w:ascii="Times New Roman" w:hAnsi="Times New Roman"/>
          <w:sz w:val="28"/>
          <w:szCs w:val="28"/>
        </w:rPr>
        <w:t xml:space="preserve">-Creación de un tercer marcador de sexo para integrar la identidad no binaria al sistema de identificación ciudadana </w:t>
      </w:r>
    </w:p>
    <w:p w:rsidR="00BA7523" w:rsidRPr="00030313" w:rsidRDefault="00BA7523">
      <w:pPr>
        <w:widowControl w:val="0"/>
        <w:autoSpaceDE w:val="0"/>
        <w:autoSpaceDN w:val="0"/>
        <w:adjustRightInd w:val="0"/>
        <w:spacing w:after="0" w:line="240" w:lineRule="auto"/>
        <w:jc w:val="both"/>
        <w:rPr>
          <w:rFonts w:ascii="Times New Roman" w:hAnsi="Times New Roman"/>
          <w:sz w:val="28"/>
          <w:szCs w:val="28"/>
        </w:rPr>
      </w:pPr>
    </w:p>
    <w:p w:rsidR="00BA7523" w:rsidRPr="00030313" w:rsidRDefault="00771CC8">
      <w:pPr>
        <w:widowControl w:val="0"/>
        <w:autoSpaceDE w:val="0"/>
        <w:autoSpaceDN w:val="0"/>
        <w:adjustRightInd w:val="0"/>
        <w:spacing w:after="0" w:line="240" w:lineRule="auto"/>
        <w:jc w:val="both"/>
        <w:rPr>
          <w:rFonts w:ascii="Times New Roman" w:hAnsi="Times New Roman"/>
          <w:sz w:val="28"/>
          <w:szCs w:val="28"/>
        </w:rPr>
      </w:pPr>
      <w:r w:rsidRPr="00030313">
        <w:rPr>
          <w:rFonts w:ascii="Times New Roman" w:hAnsi="Times New Roman"/>
          <w:b/>
          <w:bCs/>
          <w:sz w:val="28"/>
          <w:szCs w:val="28"/>
        </w:rPr>
        <w:t>PRINCIPIO IURA NOVIT CURIA</w:t>
      </w:r>
      <w:r w:rsidRPr="00030313">
        <w:rPr>
          <w:rFonts w:ascii="Times New Roman" w:hAnsi="Times New Roman"/>
          <w:sz w:val="28"/>
          <w:szCs w:val="28"/>
        </w:rPr>
        <w:t xml:space="preserve">-La acción de tutela debe ser entendida de conformidad con este principio </w:t>
      </w:r>
    </w:p>
    <w:p w:rsidR="00BA7523" w:rsidRPr="00030313" w:rsidRDefault="00BA7523">
      <w:pPr>
        <w:widowControl w:val="0"/>
        <w:autoSpaceDE w:val="0"/>
        <w:autoSpaceDN w:val="0"/>
        <w:adjustRightInd w:val="0"/>
        <w:spacing w:after="0" w:line="240" w:lineRule="auto"/>
        <w:jc w:val="both"/>
        <w:rPr>
          <w:rFonts w:ascii="Times New Roman" w:hAnsi="Times New Roman"/>
          <w:sz w:val="28"/>
          <w:szCs w:val="28"/>
        </w:rPr>
      </w:pPr>
    </w:p>
    <w:p w:rsidR="00BA7523" w:rsidRPr="00030313" w:rsidRDefault="00771CC8">
      <w:pPr>
        <w:widowControl w:val="0"/>
        <w:autoSpaceDE w:val="0"/>
        <w:autoSpaceDN w:val="0"/>
        <w:adjustRightInd w:val="0"/>
        <w:spacing w:after="0" w:line="240" w:lineRule="auto"/>
        <w:jc w:val="both"/>
        <w:rPr>
          <w:rFonts w:ascii="Times New Roman" w:hAnsi="Times New Roman"/>
          <w:sz w:val="28"/>
          <w:szCs w:val="28"/>
        </w:rPr>
      </w:pPr>
      <w:r w:rsidRPr="00030313">
        <w:rPr>
          <w:rFonts w:ascii="Times New Roman" w:hAnsi="Times New Roman"/>
          <w:b/>
          <w:bCs/>
          <w:sz w:val="28"/>
          <w:szCs w:val="28"/>
        </w:rPr>
        <w:t>DERECHO A LA IGUALDAD</w:t>
      </w:r>
      <w:r w:rsidRPr="00030313">
        <w:rPr>
          <w:rFonts w:ascii="Times New Roman" w:hAnsi="Times New Roman"/>
          <w:sz w:val="28"/>
          <w:szCs w:val="28"/>
        </w:rPr>
        <w:t xml:space="preserve">-Prohibición de discriminación </w:t>
      </w:r>
    </w:p>
    <w:p w:rsidR="00BA7523" w:rsidRPr="00030313" w:rsidRDefault="00BA7523">
      <w:pPr>
        <w:widowControl w:val="0"/>
        <w:autoSpaceDE w:val="0"/>
        <w:autoSpaceDN w:val="0"/>
        <w:adjustRightInd w:val="0"/>
        <w:spacing w:after="0" w:line="240" w:lineRule="auto"/>
        <w:jc w:val="both"/>
        <w:rPr>
          <w:rFonts w:ascii="Times New Roman" w:hAnsi="Times New Roman"/>
          <w:sz w:val="28"/>
          <w:szCs w:val="28"/>
        </w:rPr>
      </w:pPr>
    </w:p>
    <w:p w:rsidR="00BA7523" w:rsidRPr="00030313" w:rsidRDefault="00771CC8">
      <w:pPr>
        <w:widowControl w:val="0"/>
        <w:autoSpaceDE w:val="0"/>
        <w:autoSpaceDN w:val="0"/>
        <w:adjustRightInd w:val="0"/>
        <w:spacing w:after="0" w:line="240" w:lineRule="auto"/>
        <w:jc w:val="both"/>
        <w:rPr>
          <w:rFonts w:ascii="Times New Roman" w:hAnsi="Times New Roman"/>
          <w:sz w:val="28"/>
          <w:szCs w:val="28"/>
        </w:rPr>
      </w:pPr>
      <w:r w:rsidRPr="00030313">
        <w:rPr>
          <w:rFonts w:ascii="Times New Roman" w:hAnsi="Times New Roman"/>
          <w:b/>
          <w:bCs/>
          <w:sz w:val="28"/>
          <w:szCs w:val="28"/>
        </w:rPr>
        <w:t>DERECHO A LA IGUALDAD</w:t>
      </w:r>
      <w:r w:rsidRPr="00030313">
        <w:rPr>
          <w:rFonts w:ascii="Times New Roman" w:hAnsi="Times New Roman"/>
          <w:sz w:val="28"/>
          <w:szCs w:val="28"/>
        </w:rPr>
        <w:t>-Carácter relacional</w:t>
      </w:r>
    </w:p>
    <w:p w:rsidR="00BA7523" w:rsidRPr="00030313" w:rsidRDefault="00BA7523">
      <w:pPr>
        <w:widowControl w:val="0"/>
        <w:autoSpaceDE w:val="0"/>
        <w:autoSpaceDN w:val="0"/>
        <w:adjustRightInd w:val="0"/>
        <w:spacing w:after="0" w:line="240" w:lineRule="auto"/>
        <w:jc w:val="both"/>
        <w:rPr>
          <w:rFonts w:ascii="Times New Roman" w:hAnsi="Times New Roman"/>
          <w:sz w:val="28"/>
          <w:szCs w:val="28"/>
        </w:rPr>
      </w:pPr>
    </w:p>
    <w:p w:rsidR="00BA7523" w:rsidRPr="00030313" w:rsidRDefault="00771CC8">
      <w:pPr>
        <w:widowControl w:val="0"/>
        <w:autoSpaceDE w:val="0"/>
        <w:autoSpaceDN w:val="0"/>
        <w:adjustRightInd w:val="0"/>
        <w:spacing w:after="0" w:line="240" w:lineRule="auto"/>
        <w:jc w:val="both"/>
        <w:rPr>
          <w:rFonts w:ascii="Times New Roman" w:hAnsi="Times New Roman"/>
          <w:sz w:val="28"/>
          <w:szCs w:val="28"/>
        </w:rPr>
      </w:pPr>
      <w:r w:rsidRPr="00030313">
        <w:rPr>
          <w:rFonts w:ascii="Times New Roman" w:hAnsi="Times New Roman"/>
          <w:i/>
          <w:iCs/>
          <w:sz w:val="28"/>
          <w:szCs w:val="28"/>
        </w:rPr>
        <w:t>(...) la garantía del derecho a la igualdad implica examinar, caso a caso, (i) las particularidades del sujeto, (ii) el contexto de aplicación de la norma, (iii) el criterio diferenciador y (iv) el sector poblacional con respecto al cual, presuntamente, se le está brindado un trato diferenciado de forma injustificada, con el fin de observar este principio desde su naturaleza relacional.</w:t>
      </w:r>
    </w:p>
    <w:p w:rsidR="00BA7523" w:rsidRPr="00030313" w:rsidRDefault="00BA7523">
      <w:pPr>
        <w:widowControl w:val="0"/>
        <w:autoSpaceDE w:val="0"/>
        <w:autoSpaceDN w:val="0"/>
        <w:adjustRightInd w:val="0"/>
        <w:spacing w:after="0" w:line="240" w:lineRule="auto"/>
        <w:jc w:val="both"/>
        <w:rPr>
          <w:rFonts w:ascii="Times New Roman" w:hAnsi="Times New Roman"/>
          <w:sz w:val="28"/>
          <w:szCs w:val="28"/>
        </w:rPr>
      </w:pPr>
    </w:p>
    <w:p w:rsidR="00BA7523" w:rsidRPr="00030313" w:rsidRDefault="00771CC8">
      <w:pPr>
        <w:widowControl w:val="0"/>
        <w:autoSpaceDE w:val="0"/>
        <w:autoSpaceDN w:val="0"/>
        <w:adjustRightInd w:val="0"/>
        <w:spacing w:after="0" w:line="240" w:lineRule="auto"/>
        <w:jc w:val="both"/>
        <w:rPr>
          <w:rFonts w:ascii="Times New Roman" w:hAnsi="Times New Roman"/>
          <w:sz w:val="28"/>
          <w:szCs w:val="28"/>
        </w:rPr>
      </w:pPr>
      <w:r w:rsidRPr="00030313">
        <w:rPr>
          <w:rFonts w:ascii="Times New Roman" w:hAnsi="Times New Roman"/>
          <w:b/>
          <w:bCs/>
          <w:sz w:val="28"/>
          <w:szCs w:val="28"/>
        </w:rPr>
        <w:t>DERECHO FUNDAMENTAL A LA IDENTIDAD DE GENERO</w:t>
      </w:r>
      <w:r w:rsidRPr="00030313">
        <w:rPr>
          <w:rFonts w:ascii="Times New Roman" w:hAnsi="Times New Roman"/>
          <w:sz w:val="28"/>
          <w:szCs w:val="28"/>
        </w:rPr>
        <w:t>-Alcance y contenido</w:t>
      </w:r>
    </w:p>
    <w:p w:rsidR="00BA7523" w:rsidRPr="00030313" w:rsidRDefault="00BA7523">
      <w:pPr>
        <w:widowControl w:val="0"/>
        <w:autoSpaceDE w:val="0"/>
        <w:autoSpaceDN w:val="0"/>
        <w:adjustRightInd w:val="0"/>
        <w:spacing w:after="0" w:line="240" w:lineRule="auto"/>
        <w:jc w:val="both"/>
        <w:rPr>
          <w:rFonts w:ascii="Times New Roman" w:hAnsi="Times New Roman"/>
          <w:sz w:val="28"/>
          <w:szCs w:val="28"/>
        </w:rPr>
      </w:pPr>
    </w:p>
    <w:p w:rsidR="00BA7523" w:rsidRPr="00030313" w:rsidRDefault="00771CC8">
      <w:pPr>
        <w:widowControl w:val="0"/>
        <w:autoSpaceDE w:val="0"/>
        <w:autoSpaceDN w:val="0"/>
        <w:adjustRightInd w:val="0"/>
        <w:spacing w:after="0" w:line="240" w:lineRule="auto"/>
        <w:jc w:val="both"/>
        <w:rPr>
          <w:rFonts w:ascii="Times New Roman" w:hAnsi="Times New Roman"/>
          <w:sz w:val="28"/>
          <w:szCs w:val="28"/>
        </w:rPr>
      </w:pPr>
      <w:r w:rsidRPr="00030313">
        <w:rPr>
          <w:rFonts w:ascii="Times New Roman" w:hAnsi="Times New Roman"/>
          <w:i/>
          <w:iCs/>
          <w:sz w:val="28"/>
          <w:szCs w:val="28"/>
        </w:rPr>
        <w:t xml:space="preserve">(...) el derecho fundamental a la identidad de género es el derecho que le asiste a toda persona a (i) construir y desarrollar su vivencia de género, de manera autónoma, privada y libre de injerencias y (ii) reivindicar para sí la categoría identitaria que mejor represente su manera de concebir la expresión de tal identidad. </w:t>
      </w:r>
    </w:p>
    <w:p w:rsidR="00BA7523" w:rsidRPr="00030313" w:rsidRDefault="00BA7523">
      <w:pPr>
        <w:widowControl w:val="0"/>
        <w:autoSpaceDE w:val="0"/>
        <w:autoSpaceDN w:val="0"/>
        <w:adjustRightInd w:val="0"/>
        <w:spacing w:after="0" w:line="240" w:lineRule="auto"/>
        <w:jc w:val="both"/>
        <w:rPr>
          <w:rFonts w:ascii="Times New Roman" w:hAnsi="Times New Roman"/>
          <w:sz w:val="28"/>
          <w:szCs w:val="28"/>
        </w:rPr>
      </w:pPr>
    </w:p>
    <w:p w:rsidR="00BA7523" w:rsidRPr="00030313" w:rsidRDefault="00771CC8">
      <w:pPr>
        <w:widowControl w:val="0"/>
        <w:autoSpaceDE w:val="0"/>
        <w:autoSpaceDN w:val="0"/>
        <w:adjustRightInd w:val="0"/>
        <w:spacing w:after="0" w:line="240" w:lineRule="auto"/>
        <w:jc w:val="both"/>
        <w:rPr>
          <w:rFonts w:ascii="Times New Roman" w:hAnsi="Times New Roman"/>
          <w:sz w:val="28"/>
          <w:szCs w:val="28"/>
        </w:rPr>
      </w:pPr>
      <w:r w:rsidRPr="00030313">
        <w:rPr>
          <w:rFonts w:ascii="Times New Roman" w:hAnsi="Times New Roman"/>
          <w:b/>
          <w:bCs/>
          <w:sz w:val="28"/>
          <w:szCs w:val="28"/>
        </w:rPr>
        <w:t>DERECHO FUNDAMENTAL A LA IDENTIDAD DE GENERO</w:t>
      </w:r>
      <w:r w:rsidRPr="00030313">
        <w:rPr>
          <w:rFonts w:ascii="Times New Roman" w:hAnsi="Times New Roman"/>
          <w:sz w:val="28"/>
          <w:szCs w:val="28"/>
        </w:rPr>
        <w:t>-Ámbito de protección</w:t>
      </w:r>
    </w:p>
    <w:p w:rsidR="00BA7523" w:rsidRPr="00030313" w:rsidRDefault="00BA7523">
      <w:pPr>
        <w:widowControl w:val="0"/>
        <w:autoSpaceDE w:val="0"/>
        <w:autoSpaceDN w:val="0"/>
        <w:adjustRightInd w:val="0"/>
        <w:spacing w:after="0" w:line="240" w:lineRule="auto"/>
        <w:jc w:val="both"/>
        <w:rPr>
          <w:rFonts w:ascii="Times New Roman" w:hAnsi="Times New Roman"/>
          <w:sz w:val="28"/>
          <w:szCs w:val="28"/>
        </w:rPr>
      </w:pPr>
    </w:p>
    <w:p w:rsidR="00BA7523" w:rsidRPr="00030313" w:rsidRDefault="00771CC8">
      <w:pPr>
        <w:widowControl w:val="0"/>
        <w:autoSpaceDE w:val="0"/>
        <w:autoSpaceDN w:val="0"/>
        <w:adjustRightInd w:val="0"/>
        <w:spacing w:after="0" w:line="240" w:lineRule="auto"/>
        <w:jc w:val="both"/>
        <w:rPr>
          <w:rFonts w:ascii="Times New Roman" w:hAnsi="Times New Roman"/>
          <w:sz w:val="28"/>
          <w:szCs w:val="28"/>
        </w:rPr>
      </w:pPr>
      <w:r w:rsidRPr="00030313">
        <w:rPr>
          <w:rFonts w:ascii="Times New Roman" w:hAnsi="Times New Roman"/>
          <w:i/>
          <w:iCs/>
          <w:sz w:val="28"/>
          <w:szCs w:val="28"/>
        </w:rPr>
        <w:t>(...) el ámbito de protección del derecho fundamental a la identidad de género comprende, esencialmente, tres garantías iusfundamentales: (i) la facultad de desarrollar la identidad de género de forma libre y autónoma; (ii) el derecho a la expresión de género; y (iii) la prohibición de discriminación en razón de la identidad de género.</w:t>
      </w:r>
    </w:p>
    <w:p w:rsidR="00BA7523" w:rsidRPr="00030313" w:rsidRDefault="00BA7523">
      <w:pPr>
        <w:widowControl w:val="0"/>
        <w:autoSpaceDE w:val="0"/>
        <w:autoSpaceDN w:val="0"/>
        <w:adjustRightInd w:val="0"/>
        <w:spacing w:after="0" w:line="240" w:lineRule="auto"/>
        <w:jc w:val="both"/>
        <w:rPr>
          <w:rFonts w:ascii="Times New Roman" w:hAnsi="Times New Roman"/>
          <w:sz w:val="28"/>
          <w:szCs w:val="28"/>
        </w:rPr>
      </w:pPr>
    </w:p>
    <w:p w:rsidR="00BA7523" w:rsidRPr="00030313" w:rsidRDefault="00771CC8">
      <w:pPr>
        <w:widowControl w:val="0"/>
        <w:autoSpaceDE w:val="0"/>
        <w:autoSpaceDN w:val="0"/>
        <w:adjustRightInd w:val="0"/>
        <w:spacing w:after="0" w:line="240" w:lineRule="auto"/>
        <w:jc w:val="both"/>
        <w:rPr>
          <w:rFonts w:ascii="Times New Roman" w:hAnsi="Times New Roman"/>
          <w:sz w:val="28"/>
          <w:szCs w:val="28"/>
        </w:rPr>
      </w:pPr>
      <w:r w:rsidRPr="00030313">
        <w:rPr>
          <w:rFonts w:ascii="Times New Roman" w:hAnsi="Times New Roman"/>
          <w:b/>
          <w:bCs/>
          <w:sz w:val="28"/>
          <w:szCs w:val="28"/>
        </w:rPr>
        <w:t>LIBRE DESARROLLO DE LA PERSONALIDAD Y PROTECCION DE MANIFESTACIONES DE ORIENTACION SEXUAL Y LA IDENTIDAD DE GENERO</w:t>
      </w:r>
      <w:r w:rsidRPr="00030313">
        <w:rPr>
          <w:rFonts w:ascii="Times New Roman" w:hAnsi="Times New Roman"/>
          <w:sz w:val="28"/>
          <w:szCs w:val="28"/>
        </w:rPr>
        <w:t xml:space="preserve">-Jurisprudencia constitucional </w:t>
      </w:r>
    </w:p>
    <w:p w:rsidR="00BA7523" w:rsidRPr="00030313" w:rsidRDefault="00BA7523">
      <w:pPr>
        <w:widowControl w:val="0"/>
        <w:autoSpaceDE w:val="0"/>
        <w:autoSpaceDN w:val="0"/>
        <w:adjustRightInd w:val="0"/>
        <w:spacing w:after="0" w:line="240" w:lineRule="auto"/>
        <w:jc w:val="both"/>
        <w:rPr>
          <w:rFonts w:ascii="Times New Roman" w:hAnsi="Times New Roman"/>
          <w:sz w:val="28"/>
          <w:szCs w:val="28"/>
        </w:rPr>
      </w:pPr>
    </w:p>
    <w:p w:rsidR="00BA7523" w:rsidRPr="00030313" w:rsidRDefault="00771CC8">
      <w:pPr>
        <w:widowControl w:val="0"/>
        <w:autoSpaceDE w:val="0"/>
        <w:autoSpaceDN w:val="0"/>
        <w:adjustRightInd w:val="0"/>
        <w:spacing w:after="0" w:line="240" w:lineRule="auto"/>
        <w:jc w:val="both"/>
        <w:rPr>
          <w:rFonts w:ascii="Times New Roman" w:hAnsi="Times New Roman"/>
          <w:sz w:val="28"/>
          <w:szCs w:val="28"/>
        </w:rPr>
      </w:pPr>
      <w:r w:rsidRPr="00030313">
        <w:rPr>
          <w:rFonts w:ascii="Times New Roman" w:hAnsi="Times New Roman"/>
          <w:b/>
          <w:bCs/>
          <w:sz w:val="28"/>
          <w:szCs w:val="28"/>
        </w:rPr>
        <w:t>IDENTIDAD DE GÉNERO NO BINARIA</w:t>
      </w:r>
      <w:r w:rsidRPr="00030313">
        <w:rPr>
          <w:rFonts w:ascii="Times New Roman" w:hAnsi="Times New Roman"/>
          <w:sz w:val="28"/>
          <w:szCs w:val="28"/>
        </w:rPr>
        <w:t xml:space="preserve">-Concepto </w:t>
      </w:r>
    </w:p>
    <w:p w:rsidR="00BA7523" w:rsidRPr="00030313" w:rsidRDefault="00BA7523">
      <w:pPr>
        <w:widowControl w:val="0"/>
        <w:autoSpaceDE w:val="0"/>
        <w:autoSpaceDN w:val="0"/>
        <w:adjustRightInd w:val="0"/>
        <w:spacing w:after="0" w:line="240" w:lineRule="auto"/>
        <w:jc w:val="both"/>
        <w:rPr>
          <w:rFonts w:ascii="Times New Roman" w:hAnsi="Times New Roman"/>
          <w:sz w:val="28"/>
          <w:szCs w:val="28"/>
        </w:rPr>
      </w:pPr>
    </w:p>
    <w:p w:rsidR="00BA7523" w:rsidRPr="00030313" w:rsidRDefault="00771CC8">
      <w:pPr>
        <w:widowControl w:val="0"/>
        <w:autoSpaceDE w:val="0"/>
        <w:autoSpaceDN w:val="0"/>
        <w:adjustRightInd w:val="0"/>
        <w:spacing w:after="0" w:line="240" w:lineRule="auto"/>
        <w:jc w:val="both"/>
        <w:rPr>
          <w:rFonts w:ascii="Times New Roman" w:hAnsi="Times New Roman"/>
          <w:sz w:val="28"/>
          <w:szCs w:val="28"/>
        </w:rPr>
      </w:pPr>
      <w:r w:rsidRPr="00030313">
        <w:rPr>
          <w:rFonts w:ascii="Times New Roman" w:hAnsi="Times New Roman"/>
          <w:b/>
          <w:bCs/>
          <w:sz w:val="28"/>
          <w:szCs w:val="28"/>
        </w:rPr>
        <w:t>DERECHO A LA PERSONALIDAD JURIDICA</w:t>
      </w:r>
      <w:r w:rsidRPr="00030313">
        <w:rPr>
          <w:rFonts w:ascii="Times New Roman" w:hAnsi="Times New Roman"/>
          <w:sz w:val="28"/>
          <w:szCs w:val="28"/>
        </w:rPr>
        <w:t xml:space="preserve">-Instrumentos internacionales </w:t>
      </w:r>
    </w:p>
    <w:p w:rsidR="00BA7523" w:rsidRPr="00030313" w:rsidRDefault="00BA7523">
      <w:pPr>
        <w:widowControl w:val="0"/>
        <w:autoSpaceDE w:val="0"/>
        <w:autoSpaceDN w:val="0"/>
        <w:adjustRightInd w:val="0"/>
        <w:spacing w:after="0" w:line="240" w:lineRule="auto"/>
        <w:jc w:val="both"/>
        <w:rPr>
          <w:rFonts w:ascii="Times New Roman" w:hAnsi="Times New Roman"/>
          <w:sz w:val="28"/>
          <w:szCs w:val="28"/>
        </w:rPr>
      </w:pPr>
    </w:p>
    <w:p w:rsidR="00BA7523" w:rsidRPr="00030313" w:rsidRDefault="00771CC8">
      <w:pPr>
        <w:widowControl w:val="0"/>
        <w:autoSpaceDE w:val="0"/>
        <w:autoSpaceDN w:val="0"/>
        <w:adjustRightInd w:val="0"/>
        <w:spacing w:after="0" w:line="240" w:lineRule="auto"/>
        <w:jc w:val="both"/>
        <w:rPr>
          <w:rFonts w:ascii="Times New Roman" w:hAnsi="Times New Roman"/>
          <w:sz w:val="28"/>
          <w:szCs w:val="28"/>
        </w:rPr>
      </w:pPr>
      <w:r w:rsidRPr="00030313">
        <w:rPr>
          <w:rFonts w:ascii="Times New Roman" w:hAnsi="Times New Roman"/>
          <w:b/>
          <w:bCs/>
          <w:sz w:val="28"/>
          <w:szCs w:val="28"/>
        </w:rPr>
        <w:t>DERECHO A LA PERSONALIDAD JURIDICA</w:t>
      </w:r>
      <w:r w:rsidRPr="00030313">
        <w:rPr>
          <w:rFonts w:ascii="Times New Roman" w:hAnsi="Times New Roman"/>
          <w:sz w:val="28"/>
          <w:szCs w:val="28"/>
        </w:rPr>
        <w:t xml:space="preserve">-Alcance </w:t>
      </w:r>
    </w:p>
    <w:p w:rsidR="00BA7523" w:rsidRPr="00030313" w:rsidRDefault="00BA7523">
      <w:pPr>
        <w:widowControl w:val="0"/>
        <w:autoSpaceDE w:val="0"/>
        <w:autoSpaceDN w:val="0"/>
        <w:adjustRightInd w:val="0"/>
        <w:spacing w:after="0" w:line="240" w:lineRule="auto"/>
        <w:jc w:val="both"/>
        <w:rPr>
          <w:rFonts w:ascii="Times New Roman" w:hAnsi="Times New Roman"/>
          <w:sz w:val="28"/>
          <w:szCs w:val="28"/>
        </w:rPr>
      </w:pPr>
    </w:p>
    <w:p w:rsidR="00BA7523" w:rsidRPr="00030313" w:rsidRDefault="00771CC8">
      <w:pPr>
        <w:widowControl w:val="0"/>
        <w:autoSpaceDE w:val="0"/>
        <w:autoSpaceDN w:val="0"/>
        <w:adjustRightInd w:val="0"/>
        <w:spacing w:after="0" w:line="240" w:lineRule="auto"/>
        <w:jc w:val="both"/>
        <w:rPr>
          <w:rFonts w:ascii="Times New Roman" w:hAnsi="Times New Roman"/>
          <w:sz w:val="28"/>
          <w:szCs w:val="28"/>
        </w:rPr>
      </w:pPr>
      <w:r w:rsidRPr="00030313">
        <w:rPr>
          <w:rFonts w:ascii="Times New Roman" w:hAnsi="Times New Roman"/>
          <w:b/>
          <w:bCs/>
          <w:sz w:val="28"/>
          <w:szCs w:val="28"/>
        </w:rPr>
        <w:t>DERECHO A LA PERSONALIDAD JURIDICA</w:t>
      </w:r>
      <w:r w:rsidRPr="00030313">
        <w:rPr>
          <w:rFonts w:ascii="Times New Roman" w:hAnsi="Times New Roman"/>
          <w:sz w:val="28"/>
          <w:szCs w:val="28"/>
        </w:rPr>
        <w:t xml:space="preserve">-Reiteración de jurisprudencia </w:t>
      </w:r>
    </w:p>
    <w:p w:rsidR="00BA7523" w:rsidRPr="00030313" w:rsidRDefault="00BA7523">
      <w:pPr>
        <w:widowControl w:val="0"/>
        <w:autoSpaceDE w:val="0"/>
        <w:autoSpaceDN w:val="0"/>
        <w:adjustRightInd w:val="0"/>
        <w:spacing w:after="0" w:line="240" w:lineRule="auto"/>
        <w:jc w:val="both"/>
        <w:rPr>
          <w:rFonts w:ascii="Times New Roman" w:hAnsi="Times New Roman"/>
          <w:sz w:val="28"/>
          <w:szCs w:val="28"/>
        </w:rPr>
      </w:pPr>
    </w:p>
    <w:p w:rsidR="00BA7523" w:rsidRPr="00030313" w:rsidRDefault="00771CC8">
      <w:pPr>
        <w:widowControl w:val="0"/>
        <w:autoSpaceDE w:val="0"/>
        <w:autoSpaceDN w:val="0"/>
        <w:adjustRightInd w:val="0"/>
        <w:spacing w:after="0" w:line="240" w:lineRule="auto"/>
        <w:jc w:val="both"/>
        <w:rPr>
          <w:rFonts w:ascii="Times New Roman" w:hAnsi="Times New Roman"/>
          <w:sz w:val="28"/>
          <w:szCs w:val="28"/>
        </w:rPr>
      </w:pPr>
      <w:r w:rsidRPr="00030313">
        <w:rPr>
          <w:rFonts w:ascii="Times New Roman" w:hAnsi="Times New Roman"/>
          <w:b/>
          <w:bCs/>
          <w:sz w:val="28"/>
          <w:szCs w:val="28"/>
        </w:rPr>
        <w:t>CEDULA DE CIUDADANIA</w:t>
      </w:r>
      <w:r w:rsidRPr="00030313">
        <w:rPr>
          <w:rFonts w:ascii="Times New Roman" w:hAnsi="Times New Roman"/>
          <w:sz w:val="28"/>
          <w:szCs w:val="28"/>
        </w:rPr>
        <w:t>-Importancia y funciones que cumple</w:t>
      </w:r>
    </w:p>
    <w:p w:rsidR="00BA7523" w:rsidRPr="00030313" w:rsidRDefault="00BA7523">
      <w:pPr>
        <w:widowControl w:val="0"/>
        <w:autoSpaceDE w:val="0"/>
        <w:autoSpaceDN w:val="0"/>
        <w:adjustRightInd w:val="0"/>
        <w:spacing w:after="0" w:line="240" w:lineRule="auto"/>
        <w:jc w:val="both"/>
        <w:rPr>
          <w:rFonts w:ascii="Times New Roman" w:hAnsi="Times New Roman"/>
          <w:sz w:val="28"/>
          <w:szCs w:val="28"/>
        </w:rPr>
      </w:pPr>
    </w:p>
    <w:p w:rsidR="00BA7523" w:rsidRPr="00030313" w:rsidRDefault="00771CC8">
      <w:pPr>
        <w:widowControl w:val="0"/>
        <w:autoSpaceDE w:val="0"/>
        <w:autoSpaceDN w:val="0"/>
        <w:adjustRightInd w:val="0"/>
        <w:spacing w:after="0" w:line="240" w:lineRule="auto"/>
        <w:jc w:val="both"/>
        <w:rPr>
          <w:rFonts w:ascii="Times New Roman" w:hAnsi="Times New Roman"/>
          <w:sz w:val="28"/>
          <w:szCs w:val="28"/>
        </w:rPr>
      </w:pPr>
      <w:r w:rsidRPr="00030313">
        <w:rPr>
          <w:rFonts w:ascii="Times New Roman" w:hAnsi="Times New Roman"/>
          <w:i/>
          <w:iCs/>
          <w:sz w:val="28"/>
          <w:szCs w:val="28"/>
        </w:rPr>
        <w:t>(...) la Constitución y la ley asignan a la cédula de ciudadanía tres funciones concretas: (i) identificar a las personas; (ii) permitir el ejercicio de sus derechos civiles; y (iii) asegurar la participación de los ciudadanos en la actividad política que propicie y estimule la democracia</w:t>
      </w:r>
    </w:p>
    <w:p w:rsidR="00BA7523" w:rsidRPr="00030313" w:rsidRDefault="00BA7523">
      <w:pPr>
        <w:widowControl w:val="0"/>
        <w:autoSpaceDE w:val="0"/>
        <w:autoSpaceDN w:val="0"/>
        <w:adjustRightInd w:val="0"/>
        <w:spacing w:after="0" w:line="240" w:lineRule="auto"/>
        <w:jc w:val="both"/>
        <w:rPr>
          <w:rFonts w:ascii="Times New Roman" w:hAnsi="Times New Roman"/>
          <w:sz w:val="28"/>
          <w:szCs w:val="28"/>
        </w:rPr>
      </w:pPr>
    </w:p>
    <w:p w:rsidR="00BA7523" w:rsidRPr="00030313" w:rsidRDefault="00771CC8">
      <w:pPr>
        <w:widowControl w:val="0"/>
        <w:autoSpaceDE w:val="0"/>
        <w:autoSpaceDN w:val="0"/>
        <w:adjustRightInd w:val="0"/>
        <w:spacing w:after="0" w:line="240" w:lineRule="auto"/>
        <w:jc w:val="both"/>
        <w:rPr>
          <w:rFonts w:ascii="Times New Roman" w:hAnsi="Times New Roman"/>
          <w:sz w:val="28"/>
          <w:szCs w:val="28"/>
        </w:rPr>
      </w:pPr>
      <w:r w:rsidRPr="00030313">
        <w:rPr>
          <w:rFonts w:ascii="Times New Roman" w:hAnsi="Times New Roman"/>
          <w:b/>
          <w:bCs/>
          <w:sz w:val="28"/>
          <w:szCs w:val="28"/>
        </w:rPr>
        <w:t>DERECHO A LA PERSONALIDAD JURIDICA</w:t>
      </w:r>
      <w:r w:rsidRPr="00030313">
        <w:rPr>
          <w:rFonts w:ascii="Times New Roman" w:hAnsi="Times New Roman"/>
          <w:sz w:val="28"/>
          <w:szCs w:val="28"/>
        </w:rPr>
        <w:t>-Cédula de ciudadanía digital, documento válido de identificación</w:t>
      </w:r>
    </w:p>
    <w:p w:rsidR="00BA7523" w:rsidRPr="00030313" w:rsidRDefault="00BA7523">
      <w:pPr>
        <w:widowControl w:val="0"/>
        <w:autoSpaceDE w:val="0"/>
        <w:autoSpaceDN w:val="0"/>
        <w:adjustRightInd w:val="0"/>
        <w:spacing w:after="0" w:line="240" w:lineRule="auto"/>
        <w:jc w:val="both"/>
        <w:rPr>
          <w:rFonts w:ascii="Times New Roman" w:hAnsi="Times New Roman"/>
          <w:sz w:val="28"/>
          <w:szCs w:val="28"/>
        </w:rPr>
      </w:pPr>
    </w:p>
    <w:p w:rsidR="00BA7523" w:rsidRPr="00030313" w:rsidRDefault="00771CC8">
      <w:pPr>
        <w:widowControl w:val="0"/>
        <w:autoSpaceDE w:val="0"/>
        <w:autoSpaceDN w:val="0"/>
        <w:adjustRightInd w:val="0"/>
        <w:spacing w:after="0" w:line="240" w:lineRule="auto"/>
        <w:jc w:val="both"/>
        <w:rPr>
          <w:rFonts w:ascii="Times New Roman" w:hAnsi="Times New Roman"/>
          <w:sz w:val="28"/>
          <w:szCs w:val="28"/>
        </w:rPr>
      </w:pPr>
      <w:r w:rsidRPr="00030313">
        <w:rPr>
          <w:rFonts w:ascii="Times New Roman" w:hAnsi="Times New Roman"/>
          <w:i/>
          <w:iCs/>
          <w:sz w:val="28"/>
          <w:szCs w:val="28"/>
        </w:rPr>
        <w:t>(...) el ordenamiento jurídico no distingue diferencias materiales y prácticas entre la cédula de ciudadanía de hologramas amarilla y la cédula de ciudadanía digital para efectos del acceso real a la prestación de servicios que tendría una persona que presentara una u otra para identificarse. Lo fundamental, en todo caso, es que todo ciudadano colombiano pueda acceder a su registro civil de nacimiento y cédula de ciudadanía correspondiente, física o digital, con los marcadores de género que disponga, para que pueda hacer ejercicio efectivo de sus derechos civiles y políticos, y contraer obligaciones.</w:t>
      </w:r>
    </w:p>
    <w:p w:rsidR="00BA7523" w:rsidRPr="00030313" w:rsidRDefault="00BA7523">
      <w:pPr>
        <w:widowControl w:val="0"/>
        <w:autoSpaceDE w:val="0"/>
        <w:autoSpaceDN w:val="0"/>
        <w:adjustRightInd w:val="0"/>
        <w:spacing w:after="0" w:line="240" w:lineRule="auto"/>
        <w:jc w:val="both"/>
        <w:rPr>
          <w:rFonts w:ascii="Times New Roman" w:hAnsi="Times New Roman"/>
          <w:sz w:val="28"/>
          <w:szCs w:val="28"/>
        </w:rPr>
      </w:pPr>
    </w:p>
    <w:p w:rsidR="00BA7523" w:rsidRPr="00030313" w:rsidRDefault="00771CC8">
      <w:pPr>
        <w:widowControl w:val="0"/>
        <w:autoSpaceDE w:val="0"/>
        <w:autoSpaceDN w:val="0"/>
        <w:adjustRightInd w:val="0"/>
        <w:spacing w:after="0" w:line="240" w:lineRule="auto"/>
        <w:jc w:val="both"/>
        <w:rPr>
          <w:rFonts w:ascii="Times New Roman" w:hAnsi="Times New Roman"/>
          <w:sz w:val="28"/>
          <w:szCs w:val="28"/>
        </w:rPr>
      </w:pPr>
      <w:r w:rsidRPr="00030313">
        <w:rPr>
          <w:rFonts w:ascii="Times New Roman" w:hAnsi="Times New Roman"/>
          <w:b/>
          <w:bCs/>
          <w:sz w:val="28"/>
          <w:szCs w:val="28"/>
        </w:rPr>
        <w:t>DERECHO A LA PERSONALIDAD JURÍDICA E IDENTIDAD DE GÉNERO DIVERSA</w:t>
      </w:r>
      <w:r w:rsidRPr="00030313">
        <w:rPr>
          <w:rFonts w:ascii="Times New Roman" w:hAnsi="Times New Roman"/>
          <w:sz w:val="28"/>
          <w:szCs w:val="28"/>
        </w:rPr>
        <w:t xml:space="preserve">-Marco normativo para la modificación y corrección de los documentos de identificación </w:t>
      </w:r>
    </w:p>
    <w:p w:rsidR="00BA7523" w:rsidRPr="00030313" w:rsidRDefault="00BA7523">
      <w:pPr>
        <w:widowControl w:val="0"/>
        <w:autoSpaceDE w:val="0"/>
        <w:autoSpaceDN w:val="0"/>
        <w:adjustRightInd w:val="0"/>
        <w:spacing w:after="0" w:line="240" w:lineRule="auto"/>
        <w:jc w:val="both"/>
        <w:rPr>
          <w:rFonts w:ascii="Times New Roman" w:hAnsi="Times New Roman"/>
          <w:sz w:val="28"/>
          <w:szCs w:val="28"/>
        </w:rPr>
      </w:pPr>
    </w:p>
    <w:p w:rsidR="00BA7523" w:rsidRPr="00030313" w:rsidRDefault="00771CC8">
      <w:pPr>
        <w:widowControl w:val="0"/>
        <w:autoSpaceDE w:val="0"/>
        <w:autoSpaceDN w:val="0"/>
        <w:adjustRightInd w:val="0"/>
        <w:spacing w:after="0" w:line="240" w:lineRule="auto"/>
        <w:jc w:val="both"/>
        <w:rPr>
          <w:rFonts w:ascii="Times New Roman" w:hAnsi="Times New Roman"/>
          <w:sz w:val="28"/>
          <w:szCs w:val="28"/>
        </w:rPr>
      </w:pPr>
      <w:r w:rsidRPr="00030313">
        <w:rPr>
          <w:rFonts w:ascii="Times New Roman" w:hAnsi="Times New Roman"/>
          <w:b/>
          <w:bCs/>
          <w:sz w:val="28"/>
          <w:szCs w:val="28"/>
        </w:rPr>
        <w:t>IDENTIDAD DE GÉNERO DIVERSA Y MODIFICACIÓN DEL COMPONENTE SEXO EN LOS DOCUMENTOS DE IDENTIFICACIÓN</w:t>
      </w:r>
      <w:r w:rsidRPr="00030313">
        <w:rPr>
          <w:rFonts w:ascii="Times New Roman" w:hAnsi="Times New Roman"/>
          <w:sz w:val="28"/>
          <w:szCs w:val="28"/>
        </w:rPr>
        <w:t xml:space="preserve">-Jurisprudencia constitucional </w:t>
      </w:r>
    </w:p>
    <w:p w:rsidR="00BA7523" w:rsidRPr="00030313" w:rsidRDefault="00BA7523">
      <w:pPr>
        <w:widowControl w:val="0"/>
        <w:autoSpaceDE w:val="0"/>
        <w:autoSpaceDN w:val="0"/>
        <w:adjustRightInd w:val="0"/>
        <w:spacing w:after="0" w:line="240" w:lineRule="auto"/>
        <w:jc w:val="both"/>
        <w:rPr>
          <w:rFonts w:ascii="Times New Roman" w:hAnsi="Times New Roman"/>
          <w:sz w:val="28"/>
          <w:szCs w:val="28"/>
        </w:rPr>
      </w:pPr>
    </w:p>
    <w:p w:rsidR="00BA7523" w:rsidRPr="00030313" w:rsidRDefault="00771CC8">
      <w:pPr>
        <w:widowControl w:val="0"/>
        <w:autoSpaceDE w:val="0"/>
        <w:autoSpaceDN w:val="0"/>
        <w:adjustRightInd w:val="0"/>
        <w:spacing w:after="0" w:line="240" w:lineRule="auto"/>
        <w:jc w:val="both"/>
        <w:rPr>
          <w:rFonts w:ascii="Times New Roman" w:hAnsi="Times New Roman"/>
          <w:sz w:val="28"/>
          <w:szCs w:val="28"/>
        </w:rPr>
      </w:pPr>
      <w:r w:rsidRPr="00030313">
        <w:rPr>
          <w:rFonts w:ascii="Times New Roman" w:hAnsi="Times New Roman"/>
          <w:b/>
          <w:bCs/>
          <w:sz w:val="28"/>
          <w:szCs w:val="28"/>
        </w:rPr>
        <w:t>EXHORTO</w:t>
      </w:r>
      <w:r w:rsidRPr="00030313">
        <w:rPr>
          <w:rFonts w:ascii="Times New Roman" w:hAnsi="Times New Roman"/>
          <w:sz w:val="28"/>
          <w:szCs w:val="28"/>
        </w:rPr>
        <w:t xml:space="preserve">-Congreso de la República </w:t>
      </w:r>
    </w:p>
    <w:p w:rsidR="00BA7523" w:rsidRPr="00030313" w:rsidRDefault="00BA7523">
      <w:pPr>
        <w:widowControl w:val="0"/>
        <w:autoSpaceDE w:val="0"/>
        <w:autoSpaceDN w:val="0"/>
        <w:adjustRightInd w:val="0"/>
        <w:spacing w:after="0" w:line="240" w:lineRule="auto"/>
        <w:jc w:val="both"/>
        <w:rPr>
          <w:rFonts w:ascii="Times New Roman" w:hAnsi="Times New Roman"/>
          <w:sz w:val="28"/>
          <w:szCs w:val="28"/>
        </w:rPr>
      </w:pPr>
    </w:p>
    <w:p w:rsidR="00BA7523" w:rsidRPr="00030313" w:rsidRDefault="00030313">
      <w:pPr>
        <w:widowControl w:val="0"/>
        <w:autoSpaceDE w:val="0"/>
        <w:autoSpaceDN w:val="0"/>
        <w:adjustRightInd w:val="0"/>
        <w:spacing w:after="0" w:line="240" w:lineRule="auto"/>
        <w:jc w:val="both"/>
        <w:rPr>
          <w:rFonts w:ascii="Times New Roman" w:hAnsi="Times New Roman"/>
          <w:sz w:val="28"/>
        </w:rPr>
      </w:pPr>
      <w:r w:rsidRPr="00030313">
        <w:rPr>
          <w:rFonts w:ascii="Times New Roman" w:hAnsi="Times New Roman"/>
          <w:sz w:val="28"/>
          <w:szCs w:val="28"/>
        </w:rPr>
        <w:pict>
          <v:rect id="_x0000_i1025" style="width:0;height:1.5pt" o:hralign="center" o:hrstd="t" o:hr="t" fillcolor="#a0a0a0" stroked="f"/>
        </w:pict>
      </w:r>
    </w:p>
    <w:p w:rsidR="00C36B4C" w:rsidRPr="00030313" w:rsidRDefault="00030313" w:rsidP="000A4ADC">
      <w:pPr>
        <w:ind w:left="708" w:hanging="708"/>
        <w:jc w:val="center"/>
        <w:rPr>
          <w:rFonts w:ascii="Times New Roman" w:hAnsi="Times New Roman"/>
          <w:b/>
          <w:bCs/>
          <w:sz w:val="28"/>
        </w:rPr>
      </w:pPr>
      <w:r w:rsidRPr="00030313">
        <w:rPr>
          <w:rFonts w:ascii="Times New Roman" w:hAnsi="Times New Roman"/>
          <w:b/>
          <w:bCs/>
          <w:sz w:val="28"/>
        </w:rPr>
        <w:t>REPÚBLICA DE COLOMBIA</w:t>
      </w:r>
    </w:p>
    <w:p w:rsidR="00C36B4C" w:rsidRPr="00030313" w:rsidRDefault="00030313" w:rsidP="000A4ADC">
      <w:pPr>
        <w:jc w:val="center"/>
        <w:rPr>
          <w:rFonts w:ascii="Times New Roman" w:hAnsi="Times New Roman"/>
          <w:b/>
          <w:bCs/>
          <w:sz w:val="28"/>
        </w:rPr>
      </w:pPr>
      <w:r w:rsidRPr="00030313">
        <w:rPr>
          <w:rFonts w:ascii="Times New Roman" w:hAnsi="Times New Roman"/>
          <w:b/>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8" type="#_x0000_t75" style="width:42.75pt;height:42.75pt;visibility:visible;mso-wrap-style:square">
            <v:imagedata r:id="rId7" o:title=""/>
          </v:shape>
        </w:pict>
      </w:r>
    </w:p>
    <w:p w:rsidR="00C36B4C" w:rsidRPr="00030313" w:rsidRDefault="00030313" w:rsidP="000A4ADC">
      <w:pPr>
        <w:jc w:val="center"/>
        <w:rPr>
          <w:rFonts w:ascii="Times New Roman" w:hAnsi="Times New Roman"/>
          <w:b/>
          <w:bCs/>
          <w:sz w:val="28"/>
        </w:rPr>
      </w:pPr>
      <w:r w:rsidRPr="00030313">
        <w:rPr>
          <w:rFonts w:ascii="Times New Roman" w:hAnsi="Times New Roman"/>
          <w:b/>
          <w:bCs/>
          <w:sz w:val="28"/>
        </w:rPr>
        <w:t>CORTE CONSTITUCIONAL</w:t>
      </w:r>
    </w:p>
    <w:p w:rsidR="00C36B4C" w:rsidRPr="00030313" w:rsidRDefault="00030313" w:rsidP="000A4ADC">
      <w:pPr>
        <w:pStyle w:val="Textoindependiente2"/>
        <w:spacing w:after="0" w:line="240" w:lineRule="auto"/>
        <w:jc w:val="center"/>
        <w:rPr>
          <w:rFonts w:ascii="Times New Roman" w:hAnsi="Times New Roman"/>
          <w:b/>
          <w:bCs/>
          <w:sz w:val="28"/>
        </w:rPr>
      </w:pPr>
      <w:r w:rsidRPr="00030313">
        <w:rPr>
          <w:rFonts w:ascii="Times New Roman" w:hAnsi="Times New Roman"/>
          <w:b/>
          <w:bCs/>
          <w:sz w:val="28"/>
        </w:rPr>
        <w:t>Sala Quinta de Revisión</w:t>
      </w:r>
    </w:p>
    <w:p w:rsidR="00C36B4C" w:rsidRPr="00030313" w:rsidRDefault="00030313" w:rsidP="000A4ADC">
      <w:pPr>
        <w:pStyle w:val="Textoindependiente2"/>
        <w:spacing w:after="0" w:line="240" w:lineRule="auto"/>
        <w:rPr>
          <w:rFonts w:ascii="Times New Roman" w:hAnsi="Times New Roman"/>
          <w:b/>
          <w:bCs/>
          <w:sz w:val="28"/>
        </w:rPr>
      </w:pPr>
    </w:p>
    <w:p w:rsidR="00C36B4C" w:rsidRPr="00030313" w:rsidRDefault="00030313" w:rsidP="00C61937">
      <w:pPr>
        <w:pStyle w:val="Textoindependiente2"/>
        <w:spacing w:after="0" w:line="240" w:lineRule="auto"/>
        <w:jc w:val="center"/>
        <w:rPr>
          <w:rFonts w:ascii="Times New Roman" w:hAnsi="Times New Roman"/>
          <w:b/>
          <w:bCs/>
          <w:sz w:val="28"/>
        </w:rPr>
      </w:pPr>
    </w:p>
    <w:p w:rsidR="00C36B4C" w:rsidRPr="00030313" w:rsidRDefault="00030313" w:rsidP="00C61937">
      <w:pPr>
        <w:pStyle w:val="Textoindependiente2"/>
        <w:spacing w:after="0" w:line="240" w:lineRule="auto"/>
        <w:ind w:right="-91"/>
        <w:jc w:val="center"/>
        <w:rPr>
          <w:rFonts w:ascii="Times New Roman" w:hAnsi="Times New Roman"/>
          <w:b/>
          <w:bCs/>
          <w:sz w:val="28"/>
        </w:rPr>
      </w:pPr>
      <w:r w:rsidRPr="00030313">
        <w:rPr>
          <w:rFonts w:ascii="Times New Roman" w:hAnsi="Times New Roman"/>
          <w:b/>
          <w:bCs/>
          <w:sz w:val="28"/>
        </w:rPr>
        <w:t xml:space="preserve">SENTENCIA </w:t>
      </w:r>
      <w:r w:rsidRPr="00030313">
        <w:rPr>
          <w:rFonts w:ascii="Times New Roman" w:hAnsi="Times New Roman"/>
          <w:b/>
          <w:bCs/>
          <w:sz w:val="28"/>
        </w:rPr>
        <w:t>T-527</w:t>
      </w:r>
      <w:r w:rsidRPr="00030313">
        <w:rPr>
          <w:rFonts w:ascii="Times New Roman" w:hAnsi="Times New Roman"/>
          <w:b/>
          <w:bCs/>
          <w:sz w:val="28"/>
        </w:rPr>
        <w:t xml:space="preserve"> DE 2024</w:t>
      </w:r>
    </w:p>
    <w:p w:rsidR="00C36B4C" w:rsidRPr="00030313" w:rsidRDefault="00030313" w:rsidP="00C61937">
      <w:pPr>
        <w:ind w:left="3927"/>
        <w:jc w:val="both"/>
        <w:rPr>
          <w:rFonts w:ascii="Times New Roman" w:hAnsi="Times New Roman"/>
          <w:sz w:val="28"/>
        </w:rPr>
      </w:pPr>
    </w:p>
    <w:p w:rsidR="00C36B4C" w:rsidRPr="00030313" w:rsidRDefault="00030313" w:rsidP="00C61937">
      <w:pPr>
        <w:ind w:left="3969"/>
        <w:jc w:val="both"/>
        <w:rPr>
          <w:rStyle w:val="normaltextrun"/>
          <w:rFonts w:ascii="Times New Roman" w:hAnsi="Times New Roman"/>
          <w:sz w:val="28"/>
          <w:shd w:val="clear" w:color="auto" w:fill="FFFFFF"/>
        </w:rPr>
      </w:pPr>
      <w:r w:rsidRPr="00030313">
        <w:rPr>
          <w:rFonts w:ascii="Times New Roman" w:hAnsi="Times New Roman"/>
          <w:b/>
          <w:bCs/>
          <w:sz w:val="28"/>
        </w:rPr>
        <w:t>Referencia</w:t>
      </w:r>
      <w:r w:rsidRPr="00030313">
        <w:rPr>
          <w:rFonts w:ascii="Times New Roman" w:hAnsi="Times New Roman"/>
          <w:b/>
          <w:bCs/>
          <w:sz w:val="28"/>
        </w:rPr>
        <w:t>:</w:t>
      </w:r>
      <w:r w:rsidRPr="00030313">
        <w:rPr>
          <w:rFonts w:ascii="Times New Roman" w:hAnsi="Times New Roman"/>
          <w:b/>
          <w:sz w:val="28"/>
        </w:rPr>
        <w:t xml:space="preserve"> </w:t>
      </w:r>
      <w:bookmarkStart w:id="1" w:name="_Hlk147773858"/>
      <w:bookmarkStart w:id="2" w:name="_Hlk54189211"/>
      <w:r w:rsidRPr="00030313">
        <w:rPr>
          <w:rFonts w:ascii="Times New Roman" w:hAnsi="Times New Roman"/>
          <w:bCs/>
          <w:sz w:val="28"/>
        </w:rPr>
        <w:t>E</w:t>
      </w:r>
      <w:r w:rsidRPr="00030313">
        <w:rPr>
          <w:rFonts w:ascii="Times New Roman" w:hAnsi="Times New Roman"/>
          <w:bCs/>
          <w:sz w:val="28"/>
        </w:rPr>
        <w:t xml:space="preserve">xpediente </w:t>
      </w:r>
      <w:r w:rsidRPr="00030313">
        <w:rPr>
          <w:rStyle w:val="normaltextrun"/>
          <w:rFonts w:ascii="Times New Roman" w:hAnsi="Times New Roman"/>
          <w:sz w:val="28"/>
          <w:shd w:val="clear" w:color="auto" w:fill="FFFFFF"/>
        </w:rPr>
        <w:t>T-</w:t>
      </w:r>
      <w:bookmarkEnd w:id="1"/>
      <w:r w:rsidRPr="00030313">
        <w:rPr>
          <w:rStyle w:val="normaltextrun"/>
          <w:rFonts w:ascii="Times New Roman" w:hAnsi="Times New Roman"/>
          <w:sz w:val="28"/>
          <w:shd w:val="clear" w:color="auto" w:fill="FFFFFF"/>
        </w:rPr>
        <w:t xml:space="preserve">10.141.790 </w:t>
      </w:r>
    </w:p>
    <w:bookmarkEnd w:id="2"/>
    <w:p w:rsidR="00C36B4C" w:rsidRPr="00030313" w:rsidRDefault="00030313" w:rsidP="00C61937">
      <w:pPr>
        <w:ind w:left="3119"/>
        <w:jc w:val="both"/>
        <w:rPr>
          <w:rFonts w:ascii="Times New Roman" w:hAnsi="Times New Roman"/>
          <w:sz w:val="28"/>
        </w:rPr>
      </w:pPr>
    </w:p>
    <w:p w:rsidR="00C36B4C" w:rsidRPr="00030313" w:rsidRDefault="00030313" w:rsidP="00C61937">
      <w:pPr>
        <w:ind w:left="3969"/>
        <w:jc w:val="both"/>
        <w:rPr>
          <w:rFonts w:ascii="Times New Roman" w:hAnsi="Times New Roman"/>
          <w:sz w:val="28"/>
        </w:rPr>
      </w:pPr>
      <w:r w:rsidRPr="00030313">
        <w:rPr>
          <w:rFonts w:ascii="Times New Roman" w:hAnsi="Times New Roman"/>
          <w:b/>
          <w:bCs/>
          <w:sz w:val="28"/>
        </w:rPr>
        <w:t xml:space="preserve">Asunto: </w:t>
      </w:r>
      <w:r w:rsidRPr="00030313">
        <w:rPr>
          <w:rFonts w:ascii="Times New Roman" w:hAnsi="Times New Roman"/>
          <w:sz w:val="28"/>
        </w:rPr>
        <w:t>A</w:t>
      </w:r>
      <w:r w:rsidRPr="00030313">
        <w:rPr>
          <w:rFonts w:ascii="Times New Roman" w:hAnsi="Times New Roman"/>
          <w:sz w:val="28"/>
        </w:rPr>
        <w:t xml:space="preserve">cción de tutela instaurada por </w:t>
      </w:r>
      <w:r w:rsidRPr="00030313">
        <w:rPr>
          <w:rFonts w:ascii="Times New Roman" w:hAnsi="Times New Roman"/>
          <w:i/>
          <w:iCs/>
          <w:sz w:val="28"/>
        </w:rPr>
        <w:t>Sergio</w:t>
      </w:r>
      <w:r w:rsidRPr="00030313">
        <w:rPr>
          <w:rFonts w:ascii="Times New Roman" w:hAnsi="Times New Roman"/>
          <w:sz w:val="28"/>
        </w:rPr>
        <w:t xml:space="preserve"> </w:t>
      </w:r>
      <w:r w:rsidRPr="00030313">
        <w:rPr>
          <w:rFonts w:ascii="Times New Roman" w:hAnsi="Times New Roman"/>
          <w:sz w:val="28"/>
        </w:rPr>
        <w:t xml:space="preserve">en </w:t>
      </w:r>
      <w:r w:rsidRPr="00030313">
        <w:rPr>
          <w:rFonts w:ascii="Times New Roman" w:hAnsi="Times New Roman"/>
          <w:sz w:val="28"/>
        </w:rPr>
        <w:t>contra de la Registraduría Nacional del Estado Civil</w:t>
      </w:r>
    </w:p>
    <w:p w:rsidR="007F7C44" w:rsidRPr="00030313" w:rsidRDefault="00030313" w:rsidP="00C61937">
      <w:pPr>
        <w:ind w:left="3969"/>
        <w:jc w:val="both"/>
        <w:rPr>
          <w:rFonts w:ascii="Times New Roman" w:hAnsi="Times New Roman"/>
          <w:sz w:val="28"/>
        </w:rPr>
      </w:pPr>
    </w:p>
    <w:p w:rsidR="007F7C44" w:rsidRPr="00030313" w:rsidRDefault="00030313" w:rsidP="00C61937">
      <w:pPr>
        <w:ind w:left="3969"/>
        <w:jc w:val="both"/>
        <w:rPr>
          <w:rFonts w:ascii="Times New Roman" w:hAnsi="Times New Roman"/>
          <w:sz w:val="28"/>
        </w:rPr>
      </w:pPr>
      <w:r w:rsidRPr="00030313">
        <w:rPr>
          <w:rFonts w:ascii="Times New Roman" w:hAnsi="Times New Roman"/>
          <w:b/>
          <w:bCs/>
          <w:sz w:val="28"/>
        </w:rPr>
        <w:t xml:space="preserve">Tema: </w:t>
      </w:r>
      <w:r w:rsidRPr="00030313">
        <w:rPr>
          <w:rFonts w:ascii="Times New Roman" w:hAnsi="Times New Roman"/>
          <w:sz w:val="28"/>
        </w:rPr>
        <w:t>E</w:t>
      </w:r>
      <w:r w:rsidRPr="00030313">
        <w:rPr>
          <w:rFonts w:ascii="Times New Roman" w:hAnsi="Times New Roman"/>
          <w:sz w:val="28"/>
        </w:rPr>
        <w:t xml:space="preserve">l </w:t>
      </w:r>
      <w:r w:rsidRPr="00030313">
        <w:rPr>
          <w:rFonts w:ascii="Times New Roman" w:hAnsi="Times New Roman"/>
          <w:sz w:val="28"/>
        </w:rPr>
        <w:t>derecho de las personas no binarias</w:t>
      </w:r>
      <w:r w:rsidRPr="00030313">
        <w:rPr>
          <w:rFonts w:ascii="Times New Roman" w:hAnsi="Times New Roman"/>
          <w:sz w:val="28"/>
        </w:rPr>
        <w:t xml:space="preserve"> a ver reflejada su identidad de género</w:t>
      </w:r>
      <w:r w:rsidRPr="00030313">
        <w:rPr>
          <w:rFonts w:ascii="Times New Roman" w:hAnsi="Times New Roman"/>
          <w:sz w:val="28"/>
        </w:rPr>
        <w:t xml:space="preserve"> </w:t>
      </w:r>
      <w:r w:rsidRPr="00030313">
        <w:rPr>
          <w:rFonts w:ascii="Times New Roman" w:hAnsi="Times New Roman"/>
          <w:sz w:val="28"/>
        </w:rPr>
        <w:t>en su</w:t>
      </w:r>
      <w:r w:rsidRPr="00030313">
        <w:rPr>
          <w:rFonts w:ascii="Times New Roman" w:hAnsi="Times New Roman"/>
          <w:sz w:val="28"/>
        </w:rPr>
        <w:t xml:space="preserve"> documento de identificación</w:t>
      </w:r>
      <w:r w:rsidRPr="00030313">
        <w:rPr>
          <w:rFonts w:ascii="Times New Roman" w:hAnsi="Times New Roman"/>
          <w:sz w:val="28"/>
        </w:rPr>
        <w:t xml:space="preserve"> en formato</w:t>
      </w:r>
      <w:r w:rsidRPr="00030313">
        <w:rPr>
          <w:rFonts w:ascii="Times New Roman" w:hAnsi="Times New Roman"/>
          <w:sz w:val="28"/>
        </w:rPr>
        <w:t xml:space="preserve"> digital</w:t>
      </w:r>
    </w:p>
    <w:p w:rsidR="00C36B4C" w:rsidRPr="00030313" w:rsidRDefault="00030313" w:rsidP="00C61937">
      <w:pPr>
        <w:ind w:left="3119"/>
        <w:jc w:val="both"/>
        <w:rPr>
          <w:rFonts w:ascii="Times New Roman" w:hAnsi="Times New Roman"/>
          <w:b/>
          <w:sz w:val="28"/>
        </w:rPr>
      </w:pPr>
    </w:p>
    <w:p w:rsidR="00C36B4C" w:rsidRPr="00030313" w:rsidRDefault="00030313" w:rsidP="00C61937">
      <w:pPr>
        <w:ind w:left="3969"/>
        <w:rPr>
          <w:rFonts w:ascii="Times New Roman" w:hAnsi="Times New Roman"/>
          <w:sz w:val="28"/>
        </w:rPr>
      </w:pPr>
      <w:r w:rsidRPr="00030313">
        <w:rPr>
          <w:rFonts w:ascii="Times New Roman" w:hAnsi="Times New Roman"/>
          <w:b/>
          <w:sz w:val="28"/>
        </w:rPr>
        <w:t xml:space="preserve">Magistrado Ponente: </w:t>
      </w:r>
      <w:r w:rsidRPr="00030313">
        <w:rPr>
          <w:rFonts w:ascii="Times New Roman" w:hAnsi="Times New Roman"/>
          <w:sz w:val="28"/>
        </w:rPr>
        <w:t>Jorge Enrique Ibáñez Najar</w:t>
      </w:r>
    </w:p>
    <w:p w:rsidR="00C36B4C" w:rsidRPr="00030313" w:rsidRDefault="00030313" w:rsidP="00C61937">
      <w:pPr>
        <w:tabs>
          <w:tab w:val="left" w:pos="2289"/>
        </w:tabs>
        <w:ind w:left="3402"/>
        <w:rPr>
          <w:rFonts w:ascii="Times New Roman" w:hAnsi="Times New Roman"/>
          <w:sz w:val="28"/>
        </w:rPr>
      </w:pPr>
    </w:p>
    <w:p w:rsidR="00C36B4C" w:rsidRPr="00030313" w:rsidRDefault="00030313" w:rsidP="00C61937">
      <w:pPr>
        <w:tabs>
          <w:tab w:val="left" w:pos="2289"/>
        </w:tabs>
        <w:ind w:left="3402"/>
        <w:rPr>
          <w:rFonts w:ascii="Times New Roman" w:hAnsi="Times New Roman"/>
          <w:sz w:val="28"/>
        </w:rPr>
      </w:pPr>
    </w:p>
    <w:p w:rsidR="00C36B4C" w:rsidRPr="00030313" w:rsidRDefault="00030313" w:rsidP="00C61937">
      <w:pPr>
        <w:tabs>
          <w:tab w:val="left" w:pos="0"/>
        </w:tabs>
        <w:rPr>
          <w:rFonts w:ascii="Times New Roman" w:hAnsi="Times New Roman"/>
          <w:sz w:val="28"/>
        </w:rPr>
      </w:pPr>
      <w:r w:rsidRPr="00030313">
        <w:rPr>
          <w:rFonts w:ascii="Times New Roman" w:hAnsi="Times New Roman"/>
          <w:sz w:val="28"/>
        </w:rPr>
        <w:t xml:space="preserve">Bogotá D.C., </w:t>
      </w:r>
      <w:r w:rsidRPr="00030313">
        <w:rPr>
          <w:rFonts w:ascii="Times New Roman" w:hAnsi="Times New Roman"/>
          <w:sz w:val="28"/>
        </w:rPr>
        <w:t>dieciséis</w:t>
      </w:r>
      <w:r w:rsidRPr="00030313">
        <w:rPr>
          <w:rFonts w:ascii="Times New Roman" w:hAnsi="Times New Roman"/>
          <w:sz w:val="28"/>
        </w:rPr>
        <w:t xml:space="preserve"> (</w:t>
      </w:r>
      <w:r w:rsidRPr="00030313">
        <w:rPr>
          <w:rFonts w:ascii="Times New Roman" w:hAnsi="Times New Roman"/>
          <w:sz w:val="28"/>
        </w:rPr>
        <w:t>16</w:t>
      </w:r>
      <w:r w:rsidRPr="00030313">
        <w:rPr>
          <w:rFonts w:ascii="Times New Roman" w:hAnsi="Times New Roman"/>
          <w:sz w:val="28"/>
        </w:rPr>
        <w:t xml:space="preserve">) de </w:t>
      </w:r>
      <w:r w:rsidRPr="00030313">
        <w:rPr>
          <w:rFonts w:ascii="Times New Roman" w:hAnsi="Times New Roman"/>
          <w:sz w:val="28"/>
        </w:rPr>
        <w:t>diciembre</w:t>
      </w:r>
      <w:r w:rsidRPr="00030313">
        <w:rPr>
          <w:rFonts w:ascii="Times New Roman" w:hAnsi="Times New Roman"/>
          <w:sz w:val="28"/>
        </w:rPr>
        <w:t xml:space="preserve"> de dos mil veinticuatro (2024)</w:t>
      </w:r>
    </w:p>
    <w:p w:rsidR="008C376D" w:rsidRPr="00030313" w:rsidRDefault="00030313" w:rsidP="00C61937">
      <w:pPr>
        <w:jc w:val="both"/>
        <w:rPr>
          <w:rFonts w:ascii="Times New Roman" w:hAnsi="Times New Roman"/>
          <w:sz w:val="28"/>
        </w:rPr>
      </w:pPr>
    </w:p>
    <w:p w:rsidR="00C36B4C" w:rsidRPr="00030313" w:rsidRDefault="00030313" w:rsidP="00C61937">
      <w:pPr>
        <w:ind w:right="-17"/>
        <w:jc w:val="both"/>
        <w:rPr>
          <w:rFonts w:ascii="Times New Roman" w:hAnsi="Times New Roman"/>
          <w:sz w:val="28"/>
        </w:rPr>
      </w:pPr>
    </w:p>
    <w:p w:rsidR="00C36B4C" w:rsidRPr="00030313" w:rsidRDefault="00030313" w:rsidP="00C61937">
      <w:pPr>
        <w:ind w:right="-17"/>
        <w:jc w:val="both"/>
        <w:rPr>
          <w:rFonts w:ascii="Times New Roman" w:hAnsi="Times New Roman"/>
          <w:sz w:val="28"/>
        </w:rPr>
      </w:pPr>
      <w:r w:rsidRPr="00030313">
        <w:rPr>
          <w:rFonts w:ascii="Times New Roman" w:hAnsi="Times New Roman"/>
          <w:sz w:val="28"/>
        </w:rPr>
        <w:t>La Sala Quinta de Revisión de la Corte Constitucional, integrada por los Magistrados</w:t>
      </w:r>
      <w:r w:rsidRPr="00030313">
        <w:rPr>
          <w:rFonts w:ascii="Times New Roman" w:hAnsi="Times New Roman"/>
          <w:sz w:val="28"/>
        </w:rPr>
        <w:t xml:space="preserve"> Antonio José Lizarazo Ocampo, Paola Andrea Meneses Mosquera y Jorge Enrique Ibáñez Najar, quien la preside, en ejercicio de sus competencias constitucionales y legales, específicamente de las previstas en los artículos 86 y 241.9 de la Constitución Políti</w:t>
      </w:r>
      <w:r w:rsidRPr="00030313">
        <w:rPr>
          <w:rFonts w:ascii="Times New Roman" w:hAnsi="Times New Roman"/>
          <w:sz w:val="28"/>
        </w:rPr>
        <w:t>ca</w:t>
      </w:r>
      <w:r w:rsidRPr="00030313">
        <w:rPr>
          <w:rStyle w:val="Refdenotaalpie"/>
          <w:rFonts w:ascii="Times New Roman" w:hAnsi="Times New Roman"/>
          <w:sz w:val="28"/>
        </w:rPr>
        <w:footnoteReference w:id="1"/>
      </w:r>
      <w:r w:rsidRPr="00030313">
        <w:rPr>
          <w:rFonts w:ascii="Times New Roman" w:hAnsi="Times New Roman"/>
          <w:sz w:val="28"/>
        </w:rPr>
        <w:t>,</w:t>
      </w:r>
      <w:r w:rsidRPr="00030313">
        <w:rPr>
          <w:rFonts w:ascii="Times New Roman" w:hAnsi="Times New Roman"/>
          <w:sz w:val="28"/>
        </w:rPr>
        <w:t xml:space="preserve"> y 33 y siguientes del Decreto Ley 2591 de 1991, ha proferido la siguiente</w:t>
      </w:r>
    </w:p>
    <w:p w:rsidR="00C36B4C" w:rsidRPr="00030313" w:rsidRDefault="00030313" w:rsidP="00C61937">
      <w:pPr>
        <w:ind w:right="-18"/>
        <w:jc w:val="both"/>
        <w:rPr>
          <w:rFonts w:ascii="Times New Roman" w:hAnsi="Times New Roman"/>
          <w:sz w:val="28"/>
        </w:rPr>
      </w:pPr>
    </w:p>
    <w:p w:rsidR="00C36B4C" w:rsidRPr="00030313" w:rsidRDefault="00030313" w:rsidP="00C61937">
      <w:pPr>
        <w:ind w:right="-18"/>
        <w:jc w:val="both"/>
        <w:rPr>
          <w:rFonts w:ascii="Times New Roman" w:hAnsi="Times New Roman"/>
          <w:sz w:val="28"/>
        </w:rPr>
      </w:pPr>
    </w:p>
    <w:p w:rsidR="00C36B4C" w:rsidRPr="00030313" w:rsidRDefault="00030313" w:rsidP="00C61937">
      <w:pPr>
        <w:ind w:right="-18"/>
        <w:jc w:val="center"/>
        <w:rPr>
          <w:rFonts w:ascii="Times New Roman" w:hAnsi="Times New Roman"/>
          <w:b/>
          <w:bCs/>
          <w:sz w:val="28"/>
        </w:rPr>
      </w:pPr>
      <w:r w:rsidRPr="00030313">
        <w:rPr>
          <w:rFonts w:ascii="Times New Roman" w:hAnsi="Times New Roman"/>
          <w:b/>
          <w:bCs/>
          <w:sz w:val="28"/>
        </w:rPr>
        <w:t>SENTENCIA</w:t>
      </w:r>
    </w:p>
    <w:p w:rsidR="00C36B4C" w:rsidRPr="00030313" w:rsidRDefault="00030313" w:rsidP="00C61937">
      <w:pPr>
        <w:ind w:right="-18"/>
        <w:jc w:val="both"/>
        <w:rPr>
          <w:rFonts w:ascii="Times New Roman" w:hAnsi="Times New Roman"/>
          <w:sz w:val="28"/>
        </w:rPr>
      </w:pPr>
    </w:p>
    <w:p w:rsidR="00C36B4C" w:rsidRPr="00030313" w:rsidRDefault="00030313" w:rsidP="00C61937">
      <w:pPr>
        <w:jc w:val="both"/>
        <w:rPr>
          <w:rFonts w:ascii="Times New Roman" w:hAnsi="Times New Roman"/>
          <w:sz w:val="28"/>
        </w:rPr>
      </w:pPr>
      <w:r w:rsidRPr="00030313">
        <w:rPr>
          <w:rFonts w:ascii="Times New Roman" w:hAnsi="Times New Roman"/>
          <w:sz w:val="28"/>
        </w:rPr>
        <w:t>E</w:t>
      </w:r>
      <w:r w:rsidRPr="00030313">
        <w:rPr>
          <w:rFonts w:ascii="Times New Roman" w:hAnsi="Times New Roman"/>
          <w:sz w:val="28"/>
        </w:rPr>
        <w:t xml:space="preserve">n el trámite de revisión del fallo de tutela proferido el </w:t>
      </w:r>
      <w:r w:rsidRPr="00030313">
        <w:rPr>
          <w:rFonts w:ascii="Times New Roman" w:hAnsi="Times New Roman"/>
          <w:sz w:val="28"/>
        </w:rPr>
        <w:t>8 de marzo de 2024</w:t>
      </w:r>
      <w:r w:rsidRPr="00030313">
        <w:rPr>
          <w:rFonts w:ascii="Times New Roman" w:hAnsi="Times New Roman"/>
          <w:sz w:val="28"/>
        </w:rPr>
        <w:t xml:space="preserve"> </w:t>
      </w:r>
      <w:r w:rsidRPr="00030313">
        <w:rPr>
          <w:rFonts w:ascii="Times New Roman" w:hAnsi="Times New Roman"/>
          <w:sz w:val="28"/>
        </w:rPr>
        <w:t>por el</w:t>
      </w:r>
      <w:r w:rsidRPr="00030313">
        <w:rPr>
          <w:rFonts w:ascii="Times New Roman" w:hAnsi="Times New Roman"/>
          <w:sz w:val="28"/>
        </w:rPr>
        <w:t xml:space="preserve"> Juzgado </w:t>
      </w:r>
      <w:r w:rsidRPr="00030313">
        <w:rPr>
          <w:rFonts w:ascii="Times New Roman" w:hAnsi="Times New Roman"/>
          <w:sz w:val="28"/>
        </w:rPr>
        <w:t>0</w:t>
      </w:r>
      <w:r w:rsidRPr="00030313">
        <w:rPr>
          <w:rFonts w:ascii="Times New Roman" w:hAnsi="Times New Roman"/>
          <w:sz w:val="28"/>
        </w:rPr>
        <w:t>15 Administrativo del Circuito</w:t>
      </w:r>
      <w:r w:rsidRPr="00030313">
        <w:rPr>
          <w:rFonts w:ascii="Times New Roman" w:hAnsi="Times New Roman"/>
          <w:sz w:val="28"/>
        </w:rPr>
        <w:t xml:space="preserve"> Judicial</w:t>
      </w:r>
      <w:r w:rsidRPr="00030313">
        <w:rPr>
          <w:rFonts w:ascii="Times New Roman" w:hAnsi="Times New Roman"/>
          <w:sz w:val="28"/>
        </w:rPr>
        <w:t xml:space="preserve"> de Bogotá, Sección Segunda</w:t>
      </w:r>
      <w:r w:rsidRPr="00030313">
        <w:rPr>
          <w:rFonts w:ascii="Times New Roman" w:hAnsi="Times New Roman"/>
          <w:sz w:val="28"/>
        </w:rPr>
        <w:t xml:space="preserve">, que </w:t>
      </w:r>
      <w:r w:rsidRPr="00030313">
        <w:rPr>
          <w:rFonts w:ascii="Times New Roman" w:hAnsi="Times New Roman"/>
          <w:sz w:val="28"/>
        </w:rPr>
        <w:t>negó</w:t>
      </w:r>
      <w:r w:rsidRPr="00030313">
        <w:rPr>
          <w:rFonts w:ascii="Times New Roman" w:hAnsi="Times New Roman"/>
          <w:sz w:val="28"/>
        </w:rPr>
        <w:t xml:space="preserve"> la </w:t>
      </w:r>
      <w:r w:rsidRPr="00030313">
        <w:rPr>
          <w:rFonts w:ascii="Times New Roman" w:hAnsi="Times New Roman"/>
          <w:sz w:val="28"/>
        </w:rPr>
        <w:t>acción de tutela presentada por</w:t>
      </w:r>
      <w:r w:rsidRPr="00030313">
        <w:rPr>
          <w:rFonts w:ascii="Times New Roman" w:hAnsi="Times New Roman"/>
          <w:sz w:val="28"/>
        </w:rPr>
        <w:t xml:space="preserve"> </w:t>
      </w:r>
      <w:r w:rsidRPr="00030313">
        <w:rPr>
          <w:rFonts w:ascii="Times New Roman" w:hAnsi="Times New Roman"/>
          <w:i/>
          <w:iCs/>
          <w:sz w:val="28"/>
        </w:rPr>
        <w:t>Sergio</w:t>
      </w:r>
      <w:r w:rsidRPr="00030313">
        <w:rPr>
          <w:rFonts w:ascii="Times New Roman" w:hAnsi="Times New Roman"/>
          <w:sz w:val="28"/>
        </w:rPr>
        <w:t xml:space="preserve"> contra la Registraduría Nacional del Estado Civil</w:t>
      </w:r>
      <w:r w:rsidRPr="00030313">
        <w:rPr>
          <w:rFonts w:ascii="Times New Roman" w:hAnsi="Times New Roman"/>
          <w:sz w:val="28"/>
        </w:rPr>
        <w:t>.</w:t>
      </w:r>
    </w:p>
    <w:p w:rsidR="00EA6607" w:rsidRPr="00030313" w:rsidRDefault="00030313" w:rsidP="00C61937">
      <w:pPr>
        <w:adjustRightInd w:val="0"/>
        <w:jc w:val="both"/>
        <w:rPr>
          <w:rFonts w:ascii="Times New Roman" w:hAnsi="Times New Roman"/>
          <w:sz w:val="28"/>
        </w:rPr>
      </w:pPr>
    </w:p>
    <w:p w:rsidR="00C36B4C" w:rsidRPr="00030313" w:rsidRDefault="00030313" w:rsidP="00C61937">
      <w:pPr>
        <w:adjustRightInd w:val="0"/>
        <w:jc w:val="both"/>
        <w:rPr>
          <w:rFonts w:ascii="Times New Roman" w:hAnsi="Times New Roman"/>
          <w:sz w:val="28"/>
        </w:rPr>
      </w:pPr>
    </w:p>
    <w:p w:rsidR="00971E4E" w:rsidRPr="00030313" w:rsidRDefault="00030313" w:rsidP="00C61937">
      <w:pPr>
        <w:adjustRightInd w:val="0"/>
        <w:jc w:val="both"/>
        <w:rPr>
          <w:rFonts w:ascii="Times New Roman" w:hAnsi="Times New Roman"/>
          <w:b/>
          <w:bCs/>
          <w:sz w:val="28"/>
        </w:rPr>
      </w:pPr>
      <w:r w:rsidRPr="00030313">
        <w:rPr>
          <w:rFonts w:ascii="Times New Roman" w:hAnsi="Times New Roman"/>
          <w:b/>
          <w:bCs/>
          <w:sz w:val="28"/>
        </w:rPr>
        <w:t xml:space="preserve">Aclaración previa </w:t>
      </w:r>
    </w:p>
    <w:p w:rsidR="00616305" w:rsidRPr="00030313" w:rsidRDefault="00030313" w:rsidP="00C61937">
      <w:pPr>
        <w:adjustRightInd w:val="0"/>
        <w:jc w:val="both"/>
        <w:rPr>
          <w:rFonts w:ascii="Times New Roman" w:hAnsi="Times New Roman"/>
          <w:b/>
          <w:bCs/>
          <w:i/>
          <w:iCs/>
          <w:sz w:val="28"/>
        </w:rPr>
      </w:pPr>
    </w:p>
    <w:p w:rsidR="00616305" w:rsidRPr="00030313" w:rsidRDefault="00030313" w:rsidP="00C61937">
      <w:pPr>
        <w:adjustRightInd w:val="0"/>
        <w:jc w:val="both"/>
        <w:rPr>
          <w:rFonts w:ascii="Times New Roman" w:hAnsi="Times New Roman"/>
          <w:sz w:val="28"/>
        </w:rPr>
      </w:pPr>
      <w:r w:rsidRPr="00030313">
        <w:rPr>
          <w:rFonts w:ascii="Times New Roman" w:hAnsi="Times New Roman"/>
          <w:sz w:val="28"/>
        </w:rPr>
        <w:t>El presente caso involucra datos sensibles de los afectados en la acción de tutela, por lo cual, de conformidad con el artículo 5º</w:t>
      </w:r>
      <w:r w:rsidRPr="00030313">
        <w:rPr>
          <w:rFonts w:ascii="Times New Roman" w:hAnsi="Times New Roman"/>
          <w:sz w:val="28"/>
        </w:rPr>
        <w:t xml:space="preserve"> de la Ley 1581 de 2012 y la Circular 10 de 2022 de la Corte Constitucional, en aras de proteger la intimidad, la privacidad y el ejercicio pleno de sus derechos, se proferirán dos copias de esta sentencia, una que contendrá los nombres reales de los invol</w:t>
      </w:r>
      <w:r w:rsidRPr="00030313">
        <w:rPr>
          <w:rFonts w:ascii="Times New Roman" w:hAnsi="Times New Roman"/>
          <w:sz w:val="28"/>
        </w:rPr>
        <w:t>ucrados y otra donde en la que se suprimirán todos los datos e información que permitan su identificación. Para tal efecto, en una de las copias se utilizarán nombres ficticios en cursiva</w:t>
      </w:r>
      <w:r w:rsidRPr="00030313">
        <w:rPr>
          <w:rStyle w:val="Refdenotaalpie"/>
          <w:rFonts w:ascii="Times New Roman" w:hAnsi="Times New Roman"/>
          <w:sz w:val="28"/>
        </w:rPr>
        <w:footnoteReference w:id="2"/>
      </w:r>
      <w:r w:rsidRPr="00030313">
        <w:rPr>
          <w:rFonts w:ascii="Times New Roman" w:hAnsi="Times New Roman"/>
          <w:sz w:val="28"/>
        </w:rPr>
        <w:t>.</w:t>
      </w:r>
    </w:p>
    <w:p w:rsidR="00616305" w:rsidRPr="00030313" w:rsidRDefault="00030313" w:rsidP="00C61937">
      <w:pPr>
        <w:adjustRightInd w:val="0"/>
        <w:jc w:val="both"/>
        <w:rPr>
          <w:rFonts w:ascii="Times New Roman" w:hAnsi="Times New Roman"/>
          <w:b/>
          <w:bCs/>
          <w:i/>
          <w:iCs/>
          <w:sz w:val="28"/>
        </w:rPr>
      </w:pPr>
    </w:p>
    <w:p w:rsidR="00971E4E" w:rsidRPr="00030313" w:rsidRDefault="00030313" w:rsidP="00C61937">
      <w:pPr>
        <w:adjustRightInd w:val="0"/>
        <w:jc w:val="both"/>
        <w:rPr>
          <w:rFonts w:ascii="Times New Roman" w:hAnsi="Times New Roman"/>
          <w:b/>
          <w:bCs/>
          <w:i/>
          <w:iCs/>
          <w:sz w:val="28"/>
        </w:rPr>
      </w:pPr>
    </w:p>
    <w:p w:rsidR="00C36B4C" w:rsidRPr="00030313" w:rsidRDefault="00030313" w:rsidP="00C61937">
      <w:pPr>
        <w:adjustRightInd w:val="0"/>
        <w:jc w:val="both"/>
        <w:rPr>
          <w:rFonts w:ascii="Times New Roman" w:hAnsi="Times New Roman"/>
          <w:b/>
          <w:bCs/>
          <w:sz w:val="28"/>
        </w:rPr>
      </w:pPr>
      <w:r w:rsidRPr="00030313">
        <w:rPr>
          <w:rFonts w:ascii="Times New Roman" w:hAnsi="Times New Roman"/>
          <w:b/>
          <w:bCs/>
          <w:i/>
          <w:iCs/>
          <w:sz w:val="28"/>
        </w:rPr>
        <w:t xml:space="preserve">Síntesis </w:t>
      </w:r>
      <w:r w:rsidRPr="00030313">
        <w:rPr>
          <w:rFonts w:ascii="Times New Roman" w:hAnsi="Times New Roman"/>
          <w:b/>
          <w:bCs/>
          <w:i/>
          <w:iCs/>
          <w:sz w:val="28"/>
        </w:rPr>
        <w:t>de la decisión</w:t>
      </w:r>
      <w:r w:rsidRPr="00030313">
        <w:rPr>
          <w:rFonts w:ascii="Times New Roman" w:hAnsi="Times New Roman"/>
          <w:b/>
          <w:bCs/>
          <w:sz w:val="28"/>
        </w:rPr>
        <w:t xml:space="preserve"> </w:t>
      </w:r>
    </w:p>
    <w:p w:rsidR="00C36B4C" w:rsidRPr="00030313" w:rsidRDefault="00030313" w:rsidP="00C61937">
      <w:pPr>
        <w:adjustRightInd w:val="0"/>
        <w:jc w:val="both"/>
        <w:rPr>
          <w:rFonts w:ascii="Times New Roman" w:hAnsi="Times New Roman"/>
          <w:b/>
          <w:bCs/>
          <w:sz w:val="28"/>
        </w:rPr>
      </w:pPr>
    </w:p>
    <w:p w:rsidR="00C36B4C" w:rsidRPr="00030313" w:rsidRDefault="00030313" w:rsidP="00C61937">
      <w:pPr>
        <w:jc w:val="both"/>
        <w:rPr>
          <w:rFonts w:ascii="Times New Roman" w:hAnsi="Times New Roman"/>
          <w:sz w:val="28"/>
        </w:rPr>
      </w:pPr>
      <w:r w:rsidRPr="00030313">
        <w:rPr>
          <w:rFonts w:ascii="Times New Roman" w:hAnsi="Times New Roman"/>
          <w:sz w:val="28"/>
        </w:rPr>
        <w:t>L</w:t>
      </w:r>
      <w:r w:rsidRPr="00030313">
        <w:rPr>
          <w:rFonts w:ascii="Times New Roman" w:hAnsi="Times New Roman"/>
          <w:sz w:val="28"/>
        </w:rPr>
        <w:t xml:space="preserve">a Sala Quinta de Revisión de la Corte Constitucional conoció </w:t>
      </w:r>
      <w:r w:rsidRPr="00030313">
        <w:rPr>
          <w:rFonts w:ascii="Times New Roman" w:hAnsi="Times New Roman"/>
          <w:sz w:val="28"/>
        </w:rPr>
        <w:t xml:space="preserve">el fallo </w:t>
      </w:r>
      <w:r w:rsidRPr="00030313">
        <w:rPr>
          <w:rFonts w:ascii="Times New Roman" w:hAnsi="Times New Roman"/>
          <w:sz w:val="28"/>
        </w:rPr>
        <w:t>judicial que resolvió la</w:t>
      </w:r>
      <w:r w:rsidRPr="00030313">
        <w:rPr>
          <w:rFonts w:ascii="Times New Roman" w:hAnsi="Times New Roman"/>
          <w:sz w:val="28"/>
        </w:rPr>
        <w:t xml:space="preserve"> acción de tutela presentada por una persona que se identificaba como no binaria contra la Registraduría Nacional del Estado Civil, cuya pretensión era que se </w:t>
      </w:r>
      <w:r w:rsidRPr="00030313">
        <w:rPr>
          <w:rFonts w:ascii="Times New Roman" w:hAnsi="Times New Roman"/>
          <w:sz w:val="28"/>
        </w:rPr>
        <w:t>tut</w:t>
      </w:r>
      <w:r w:rsidRPr="00030313">
        <w:rPr>
          <w:rFonts w:ascii="Times New Roman" w:hAnsi="Times New Roman"/>
          <w:sz w:val="28"/>
        </w:rPr>
        <w:t xml:space="preserve">elaran sus derechos </w:t>
      </w:r>
      <w:r w:rsidRPr="00030313">
        <w:rPr>
          <w:rFonts w:ascii="Times New Roman" w:hAnsi="Times New Roman"/>
          <w:sz w:val="28"/>
        </w:rPr>
        <w:t>fundamentales</w:t>
      </w:r>
      <w:r w:rsidRPr="00030313">
        <w:rPr>
          <w:rFonts w:ascii="Times New Roman" w:hAnsi="Times New Roman"/>
          <w:sz w:val="28"/>
        </w:rPr>
        <w:t>, al considerar que la negativa de la accionada de expedir a su favor la cédula de ciudadanía digital con el marcador de sexo “No Binario”, se constituyó en una vulneración de sus derecho</w:t>
      </w:r>
      <w:r w:rsidRPr="00030313">
        <w:rPr>
          <w:rFonts w:ascii="Times New Roman" w:hAnsi="Times New Roman"/>
          <w:sz w:val="28"/>
        </w:rPr>
        <w:t>s</w:t>
      </w:r>
      <w:r w:rsidRPr="00030313">
        <w:rPr>
          <w:rFonts w:ascii="Times New Roman" w:hAnsi="Times New Roman"/>
          <w:sz w:val="28"/>
        </w:rPr>
        <w:t xml:space="preserve">. </w:t>
      </w:r>
    </w:p>
    <w:p w:rsidR="00ED32F7" w:rsidRPr="00030313" w:rsidRDefault="00030313" w:rsidP="00C61937">
      <w:pPr>
        <w:jc w:val="both"/>
        <w:rPr>
          <w:rFonts w:ascii="Times New Roman" w:hAnsi="Times New Roman"/>
          <w:sz w:val="28"/>
        </w:rPr>
      </w:pPr>
    </w:p>
    <w:p w:rsidR="00805F00" w:rsidRPr="00030313" w:rsidRDefault="00030313" w:rsidP="00C61937">
      <w:pPr>
        <w:jc w:val="both"/>
        <w:rPr>
          <w:rFonts w:ascii="Times New Roman" w:hAnsi="Times New Roman"/>
          <w:sz w:val="28"/>
        </w:rPr>
      </w:pPr>
      <w:r w:rsidRPr="00030313">
        <w:rPr>
          <w:rFonts w:ascii="Times New Roman" w:hAnsi="Times New Roman"/>
          <w:sz w:val="28"/>
        </w:rPr>
        <w:t>Sobre el asunto, la Sala reiter</w:t>
      </w:r>
      <w:r w:rsidRPr="00030313">
        <w:rPr>
          <w:rFonts w:ascii="Times New Roman" w:hAnsi="Times New Roman"/>
          <w:sz w:val="28"/>
        </w:rPr>
        <w:t>ó la jurisprudencia en torno a la protección de la identidad de género y su relación con el derecho al libre desarrollo de la personalidad y el derecho a la igualdad</w:t>
      </w:r>
      <w:r w:rsidRPr="00030313">
        <w:rPr>
          <w:rFonts w:ascii="Times New Roman" w:hAnsi="Times New Roman"/>
          <w:sz w:val="28"/>
        </w:rPr>
        <w:t>, así como el derecho a la personalidad jurídica</w:t>
      </w:r>
      <w:r w:rsidRPr="00030313">
        <w:rPr>
          <w:rFonts w:ascii="Times New Roman" w:hAnsi="Times New Roman"/>
          <w:sz w:val="28"/>
        </w:rPr>
        <w:t xml:space="preserve">. </w:t>
      </w:r>
      <w:r w:rsidRPr="00030313">
        <w:rPr>
          <w:rFonts w:ascii="Times New Roman" w:hAnsi="Times New Roman"/>
          <w:sz w:val="28"/>
        </w:rPr>
        <w:t xml:space="preserve">Asimismo, </w:t>
      </w:r>
      <w:r w:rsidRPr="00030313">
        <w:rPr>
          <w:rFonts w:ascii="Times New Roman" w:hAnsi="Times New Roman"/>
          <w:sz w:val="28"/>
        </w:rPr>
        <w:t>estudió</w:t>
      </w:r>
      <w:r w:rsidRPr="00030313">
        <w:rPr>
          <w:rFonts w:ascii="Times New Roman" w:hAnsi="Times New Roman"/>
          <w:sz w:val="28"/>
        </w:rPr>
        <w:t xml:space="preserve"> la actuación de la enti</w:t>
      </w:r>
      <w:r w:rsidRPr="00030313">
        <w:rPr>
          <w:rFonts w:ascii="Times New Roman" w:hAnsi="Times New Roman"/>
          <w:sz w:val="28"/>
        </w:rPr>
        <w:t>dad demandada</w:t>
      </w:r>
      <w:r w:rsidRPr="00030313">
        <w:rPr>
          <w:rFonts w:ascii="Times New Roman" w:hAnsi="Times New Roman"/>
          <w:sz w:val="28"/>
        </w:rPr>
        <w:t xml:space="preserve"> </w:t>
      </w:r>
      <w:r w:rsidRPr="00030313">
        <w:rPr>
          <w:rFonts w:ascii="Times New Roman" w:hAnsi="Times New Roman"/>
          <w:sz w:val="28"/>
        </w:rPr>
        <w:t xml:space="preserve">con el fin de examinar si la medida adoptada por </w:t>
      </w:r>
      <w:r w:rsidRPr="00030313">
        <w:rPr>
          <w:rFonts w:ascii="Times New Roman" w:hAnsi="Times New Roman"/>
          <w:sz w:val="28"/>
        </w:rPr>
        <w:t xml:space="preserve">la Registraduría Nacional del Estado Civil </w:t>
      </w:r>
      <w:r w:rsidRPr="00030313">
        <w:rPr>
          <w:rFonts w:ascii="Times New Roman" w:hAnsi="Times New Roman"/>
          <w:sz w:val="28"/>
        </w:rPr>
        <w:t>relativa a</w:t>
      </w:r>
      <w:r w:rsidRPr="00030313">
        <w:rPr>
          <w:rFonts w:ascii="Times New Roman" w:hAnsi="Times New Roman"/>
          <w:sz w:val="28"/>
        </w:rPr>
        <w:t xml:space="preserve"> negar la expedición de la cédula de ciudadanía en formato digital con el marcador de sexo “No Binario”, consagraba una vulneración al princ</w:t>
      </w:r>
      <w:r w:rsidRPr="00030313">
        <w:rPr>
          <w:rFonts w:ascii="Times New Roman" w:hAnsi="Times New Roman"/>
          <w:sz w:val="28"/>
        </w:rPr>
        <w:t>ipio de igualdad</w:t>
      </w:r>
      <w:r w:rsidRPr="00030313">
        <w:rPr>
          <w:rFonts w:ascii="Times New Roman" w:hAnsi="Times New Roman"/>
          <w:sz w:val="28"/>
        </w:rPr>
        <w:t xml:space="preserve"> de la persona accionante. </w:t>
      </w:r>
    </w:p>
    <w:p w:rsidR="009968F5" w:rsidRPr="00030313" w:rsidRDefault="00030313" w:rsidP="00C61937">
      <w:pPr>
        <w:jc w:val="both"/>
        <w:rPr>
          <w:rFonts w:ascii="Times New Roman" w:hAnsi="Times New Roman"/>
          <w:sz w:val="28"/>
        </w:rPr>
      </w:pPr>
    </w:p>
    <w:p w:rsidR="00805F00" w:rsidRPr="00030313" w:rsidRDefault="00030313" w:rsidP="00C61937">
      <w:pPr>
        <w:jc w:val="both"/>
        <w:rPr>
          <w:rFonts w:ascii="Times New Roman" w:hAnsi="Times New Roman"/>
          <w:sz w:val="28"/>
        </w:rPr>
      </w:pPr>
      <w:r w:rsidRPr="00030313">
        <w:rPr>
          <w:rFonts w:ascii="Times New Roman" w:hAnsi="Times New Roman"/>
          <w:sz w:val="28"/>
        </w:rPr>
        <w:t xml:space="preserve">Finalmente, al examinar el asunto </w:t>
      </w:r>
      <w:r w:rsidRPr="00030313">
        <w:rPr>
          <w:rFonts w:ascii="Times New Roman" w:hAnsi="Times New Roman"/>
          <w:i/>
          <w:iCs/>
          <w:sz w:val="28"/>
        </w:rPr>
        <w:t>sub examine</w:t>
      </w:r>
      <w:r w:rsidRPr="00030313">
        <w:rPr>
          <w:rFonts w:ascii="Times New Roman" w:hAnsi="Times New Roman"/>
          <w:sz w:val="28"/>
        </w:rPr>
        <w:t xml:space="preserve">, </w:t>
      </w:r>
      <w:r w:rsidRPr="00030313">
        <w:rPr>
          <w:rFonts w:ascii="Times New Roman" w:hAnsi="Times New Roman"/>
          <w:sz w:val="28"/>
        </w:rPr>
        <w:t xml:space="preserve">la Sala </w:t>
      </w:r>
      <w:r w:rsidRPr="00030313">
        <w:rPr>
          <w:rFonts w:ascii="Times New Roman" w:hAnsi="Times New Roman"/>
          <w:sz w:val="28"/>
        </w:rPr>
        <w:t xml:space="preserve">determinó que la Registraduría Nacional del Estado Civil vulneró los derechos fundamentales </w:t>
      </w:r>
      <w:r w:rsidRPr="00030313">
        <w:rPr>
          <w:rFonts w:ascii="Times New Roman" w:hAnsi="Times New Roman"/>
          <w:sz w:val="28"/>
        </w:rPr>
        <w:t xml:space="preserve">a la igualdad, el libre desarrollo de la personalidad y la </w:t>
      </w:r>
      <w:r w:rsidRPr="00030313">
        <w:rPr>
          <w:rFonts w:ascii="Times New Roman" w:hAnsi="Times New Roman"/>
          <w:sz w:val="28"/>
        </w:rPr>
        <w:t>identidad de género</w:t>
      </w:r>
      <w:r w:rsidRPr="00030313">
        <w:rPr>
          <w:rFonts w:ascii="Times New Roman" w:hAnsi="Times New Roman"/>
          <w:sz w:val="28"/>
        </w:rPr>
        <w:t xml:space="preserve"> </w:t>
      </w:r>
      <w:r w:rsidRPr="00030313">
        <w:rPr>
          <w:rFonts w:ascii="Times New Roman" w:hAnsi="Times New Roman"/>
          <w:sz w:val="28"/>
        </w:rPr>
        <w:t>de</w:t>
      </w:r>
      <w:r w:rsidRPr="00030313">
        <w:rPr>
          <w:rFonts w:ascii="Times New Roman" w:hAnsi="Times New Roman"/>
          <w:sz w:val="28"/>
        </w:rPr>
        <w:t xml:space="preserve"> la persona accionante</w:t>
      </w:r>
      <w:r w:rsidRPr="00030313">
        <w:rPr>
          <w:rFonts w:ascii="Times New Roman" w:hAnsi="Times New Roman"/>
          <w:sz w:val="28"/>
        </w:rPr>
        <w:t xml:space="preserve">. </w:t>
      </w:r>
      <w:r w:rsidRPr="00030313">
        <w:rPr>
          <w:rFonts w:ascii="Times New Roman" w:hAnsi="Times New Roman"/>
          <w:sz w:val="28"/>
        </w:rPr>
        <w:t>De otro lado, encontró que la entidad no vulneró su derecho a la personalidad jurídica ni a la libre circulación.</w:t>
      </w:r>
      <w:r w:rsidRPr="00030313">
        <w:rPr>
          <w:rFonts w:ascii="Times New Roman" w:hAnsi="Times New Roman"/>
          <w:sz w:val="28"/>
        </w:rPr>
        <w:t xml:space="preserve"> </w:t>
      </w:r>
      <w:r w:rsidRPr="00030313">
        <w:rPr>
          <w:rFonts w:ascii="Times New Roman" w:hAnsi="Times New Roman"/>
          <w:sz w:val="28"/>
        </w:rPr>
        <w:t>Como consecuencia</w:t>
      </w:r>
      <w:r w:rsidRPr="00030313">
        <w:rPr>
          <w:rFonts w:ascii="Times New Roman" w:hAnsi="Times New Roman"/>
          <w:sz w:val="28"/>
        </w:rPr>
        <w:t>,</w:t>
      </w:r>
      <w:r w:rsidRPr="00030313">
        <w:rPr>
          <w:rFonts w:ascii="Times New Roman" w:hAnsi="Times New Roman"/>
          <w:sz w:val="28"/>
        </w:rPr>
        <w:t xml:space="preserve"> la Sala</w:t>
      </w:r>
      <w:r w:rsidRPr="00030313">
        <w:rPr>
          <w:rFonts w:ascii="Times New Roman" w:hAnsi="Times New Roman"/>
          <w:sz w:val="28"/>
        </w:rPr>
        <w:t xml:space="preserve"> </w:t>
      </w:r>
      <w:r w:rsidRPr="00030313">
        <w:rPr>
          <w:rFonts w:ascii="Times New Roman" w:hAnsi="Times New Roman"/>
          <w:sz w:val="28"/>
        </w:rPr>
        <w:t>profirió</w:t>
      </w:r>
      <w:r w:rsidRPr="00030313">
        <w:rPr>
          <w:rFonts w:ascii="Times New Roman" w:hAnsi="Times New Roman"/>
          <w:sz w:val="28"/>
        </w:rPr>
        <w:t xml:space="preserve"> órdenes dirigidas a que la accionada implement</w:t>
      </w:r>
      <w:r w:rsidRPr="00030313">
        <w:rPr>
          <w:rFonts w:ascii="Times New Roman" w:hAnsi="Times New Roman"/>
          <w:sz w:val="28"/>
        </w:rPr>
        <w:t xml:space="preserve">e </w:t>
      </w:r>
      <w:r w:rsidRPr="00030313">
        <w:rPr>
          <w:rFonts w:ascii="Times New Roman" w:hAnsi="Times New Roman"/>
          <w:sz w:val="28"/>
        </w:rPr>
        <w:t>las respecti</w:t>
      </w:r>
      <w:r w:rsidRPr="00030313">
        <w:rPr>
          <w:rFonts w:ascii="Times New Roman" w:hAnsi="Times New Roman"/>
          <w:sz w:val="28"/>
        </w:rPr>
        <w:t xml:space="preserve">vas </w:t>
      </w:r>
      <w:r w:rsidRPr="00030313">
        <w:rPr>
          <w:rFonts w:ascii="Times New Roman" w:hAnsi="Times New Roman"/>
          <w:sz w:val="28"/>
        </w:rPr>
        <w:t xml:space="preserve">herramientas informáticas para que, en los próximos meses, estuviera en la capacidad de expedir de forma eficiente las </w:t>
      </w:r>
      <w:r w:rsidRPr="00030313">
        <w:rPr>
          <w:rFonts w:ascii="Times New Roman" w:hAnsi="Times New Roman"/>
          <w:sz w:val="28"/>
        </w:rPr>
        <w:t>cédulas de ciudadanía en formato digital con el marcador</w:t>
      </w:r>
      <w:r w:rsidRPr="00030313">
        <w:rPr>
          <w:rFonts w:ascii="Times New Roman" w:hAnsi="Times New Roman"/>
          <w:sz w:val="28"/>
        </w:rPr>
        <w:t xml:space="preserve"> de</w:t>
      </w:r>
      <w:r w:rsidRPr="00030313">
        <w:rPr>
          <w:rFonts w:ascii="Times New Roman" w:hAnsi="Times New Roman"/>
          <w:sz w:val="28"/>
        </w:rPr>
        <w:t xml:space="preserve"> </w:t>
      </w:r>
      <w:r w:rsidRPr="00030313">
        <w:rPr>
          <w:rFonts w:ascii="Times New Roman" w:hAnsi="Times New Roman"/>
          <w:sz w:val="28"/>
        </w:rPr>
        <w:t>sexo “No Binario”</w:t>
      </w:r>
      <w:r w:rsidRPr="00030313">
        <w:rPr>
          <w:rFonts w:ascii="Times New Roman" w:hAnsi="Times New Roman"/>
          <w:sz w:val="28"/>
        </w:rPr>
        <w:t xml:space="preserve"> en favor de la persona accionante y de toda persona con</w:t>
      </w:r>
      <w:r w:rsidRPr="00030313">
        <w:rPr>
          <w:rFonts w:ascii="Times New Roman" w:hAnsi="Times New Roman"/>
          <w:sz w:val="28"/>
        </w:rPr>
        <w:t xml:space="preserve"> identidad de género no binaria que así lo solicitara</w:t>
      </w:r>
      <w:r w:rsidRPr="00030313">
        <w:rPr>
          <w:rFonts w:ascii="Times New Roman" w:hAnsi="Times New Roman"/>
          <w:sz w:val="28"/>
        </w:rPr>
        <w:t xml:space="preserve">. </w:t>
      </w:r>
      <w:r w:rsidRPr="00030313">
        <w:rPr>
          <w:rFonts w:ascii="Times New Roman" w:hAnsi="Times New Roman"/>
          <w:sz w:val="28"/>
        </w:rPr>
        <w:t xml:space="preserve">Asimismo, la Sala reiteró el exhorto </w:t>
      </w:r>
      <w:r w:rsidRPr="00030313">
        <w:rPr>
          <w:rFonts w:ascii="Times New Roman" w:hAnsi="Times New Roman"/>
          <w:sz w:val="28"/>
        </w:rPr>
        <w:t>al Congreso de la República que había sido previsto en el</w:t>
      </w:r>
      <w:r w:rsidRPr="00030313">
        <w:rPr>
          <w:rFonts w:ascii="Times New Roman" w:hAnsi="Times New Roman"/>
          <w:sz w:val="28"/>
        </w:rPr>
        <w:t xml:space="preserve"> resolutivo sexto de la Sentencia T-033 de 2022</w:t>
      </w:r>
      <w:r w:rsidRPr="00030313">
        <w:rPr>
          <w:rFonts w:ascii="Times New Roman" w:hAnsi="Times New Roman"/>
          <w:sz w:val="28"/>
        </w:rPr>
        <w:t xml:space="preserve">, para que </w:t>
      </w:r>
      <w:r w:rsidRPr="00030313">
        <w:rPr>
          <w:rFonts w:ascii="Times New Roman" w:hAnsi="Times New Roman"/>
          <w:sz w:val="28"/>
        </w:rPr>
        <w:t>promueva</w:t>
      </w:r>
      <w:r w:rsidRPr="00030313">
        <w:rPr>
          <w:rFonts w:ascii="Times New Roman" w:hAnsi="Times New Roman"/>
          <w:sz w:val="28"/>
        </w:rPr>
        <w:t xml:space="preserve"> las propuestas legislativas pertinentes </w:t>
      </w:r>
      <w:r w:rsidRPr="00030313">
        <w:rPr>
          <w:rFonts w:ascii="Times New Roman" w:hAnsi="Times New Roman"/>
          <w:sz w:val="28"/>
        </w:rPr>
        <w:t xml:space="preserve">en aras de </w:t>
      </w:r>
      <w:r w:rsidRPr="00030313">
        <w:rPr>
          <w:rFonts w:ascii="Times New Roman" w:hAnsi="Times New Roman"/>
          <w:sz w:val="28"/>
        </w:rPr>
        <w:t xml:space="preserve">regular los derechos, obligaciones y servicios que encuentran en el sexo o en el género un criterio de asignación. </w:t>
      </w:r>
    </w:p>
    <w:p w:rsidR="00D17BDE" w:rsidRPr="00030313" w:rsidRDefault="00030313" w:rsidP="00C61937">
      <w:pPr>
        <w:jc w:val="both"/>
        <w:rPr>
          <w:rFonts w:ascii="Times New Roman" w:hAnsi="Times New Roman"/>
          <w:sz w:val="28"/>
        </w:rPr>
      </w:pPr>
    </w:p>
    <w:p w:rsidR="00A24F5C" w:rsidRPr="00030313" w:rsidRDefault="00030313" w:rsidP="00C61937">
      <w:pPr>
        <w:jc w:val="both"/>
        <w:rPr>
          <w:rFonts w:ascii="Times New Roman" w:hAnsi="Times New Roman"/>
          <w:sz w:val="28"/>
        </w:rPr>
      </w:pPr>
    </w:p>
    <w:p w:rsidR="00F62637" w:rsidRPr="00030313" w:rsidRDefault="00030313" w:rsidP="00C61937">
      <w:pPr>
        <w:pStyle w:val="TtuloTDC"/>
        <w:numPr>
          <w:ilvl w:val="0"/>
          <w:numId w:val="0"/>
        </w:numPr>
        <w:ind w:left="360" w:hanging="360"/>
        <w:rPr>
          <w:rFonts w:ascii="Times New Roman" w:hAnsi="Times New Roman"/>
          <w:sz w:val="28"/>
        </w:rPr>
      </w:pPr>
      <w:r w:rsidRPr="00030313">
        <w:rPr>
          <w:rFonts w:ascii="Times New Roman" w:hAnsi="Times New Roman"/>
          <w:sz w:val="28"/>
          <w:lang w:val="es-ES"/>
        </w:rPr>
        <w:t>Índice</w:t>
      </w:r>
    </w:p>
    <w:p w:rsidR="00D66333" w:rsidRPr="00030313" w:rsidRDefault="00030313" w:rsidP="00C61937">
      <w:pPr>
        <w:pStyle w:val="TDC1"/>
        <w:rPr>
          <w:rFonts w:ascii="Times New Roman" w:hAnsi="Times New Roman"/>
          <w:noProof/>
          <w:kern w:val="2"/>
          <w:sz w:val="28"/>
          <w:szCs w:val="24"/>
          <w:lang w:eastAsia="es-MX"/>
        </w:rPr>
      </w:pPr>
      <w:r w:rsidRPr="00030313">
        <w:rPr>
          <w:rFonts w:ascii="Times New Roman" w:hAnsi="Times New Roman"/>
          <w:sz w:val="28"/>
        </w:rPr>
        <w:fldChar w:fldCharType="begin"/>
      </w:r>
      <w:r w:rsidRPr="00030313">
        <w:rPr>
          <w:rFonts w:ascii="Times New Roman" w:hAnsi="Times New Roman"/>
          <w:sz w:val="28"/>
        </w:rPr>
        <w:instrText xml:space="preserve"> TOC \o "1-3" \h \z \u </w:instrText>
      </w:r>
      <w:r w:rsidRPr="00030313">
        <w:rPr>
          <w:rFonts w:ascii="Times New Roman" w:hAnsi="Times New Roman"/>
          <w:sz w:val="28"/>
        </w:rPr>
        <w:fldChar w:fldCharType="separate"/>
      </w:r>
      <w:hyperlink w:anchor="_Toc183628553" w:history="1">
        <w:r w:rsidRPr="00030313">
          <w:rPr>
            <w:rStyle w:val="Hipervnculo"/>
            <w:rFonts w:ascii="Times New Roman" w:hAnsi="Times New Roman"/>
            <w:noProof/>
            <w:sz w:val="28"/>
          </w:rPr>
          <w:t>I.</w:t>
        </w:r>
        <w:r w:rsidRPr="00030313">
          <w:rPr>
            <w:rFonts w:ascii="Times New Roman" w:hAnsi="Times New Roman"/>
            <w:noProof/>
            <w:kern w:val="2"/>
            <w:sz w:val="28"/>
            <w:szCs w:val="24"/>
            <w:lang w:eastAsia="es-MX"/>
          </w:rPr>
          <w:tab/>
        </w:r>
        <w:r w:rsidRPr="00030313">
          <w:rPr>
            <w:rStyle w:val="Hipervnculo"/>
            <w:rFonts w:ascii="Times New Roman" w:hAnsi="Times New Roman"/>
            <w:noProof/>
            <w:sz w:val="28"/>
          </w:rPr>
          <w:t>ANTECEDENTES</w:t>
        </w:r>
        <w:r w:rsidRPr="00030313">
          <w:rPr>
            <w:rFonts w:ascii="Times New Roman" w:hAnsi="Times New Roman"/>
            <w:noProof/>
            <w:webHidden/>
            <w:sz w:val="28"/>
          </w:rPr>
          <w:tab/>
        </w:r>
        <w:r w:rsidRPr="00030313">
          <w:rPr>
            <w:rFonts w:ascii="Times New Roman" w:hAnsi="Times New Roman"/>
            <w:noProof/>
            <w:webHidden/>
            <w:sz w:val="28"/>
          </w:rPr>
          <w:fldChar w:fldCharType="begin"/>
        </w:r>
        <w:r w:rsidRPr="00030313">
          <w:rPr>
            <w:rFonts w:ascii="Times New Roman" w:hAnsi="Times New Roman"/>
            <w:noProof/>
            <w:webHidden/>
            <w:sz w:val="28"/>
          </w:rPr>
          <w:instrText xml:space="preserve"> PAGEREF _Toc183628553 \h </w:instrText>
        </w:r>
        <w:r w:rsidRPr="00030313">
          <w:rPr>
            <w:rFonts w:ascii="Times New Roman" w:hAnsi="Times New Roman"/>
            <w:noProof/>
            <w:webHidden/>
            <w:sz w:val="28"/>
          </w:rPr>
        </w:r>
        <w:r w:rsidRPr="00030313">
          <w:rPr>
            <w:rFonts w:ascii="Times New Roman" w:hAnsi="Times New Roman"/>
            <w:noProof/>
            <w:webHidden/>
            <w:sz w:val="28"/>
          </w:rPr>
          <w:fldChar w:fldCharType="separate"/>
        </w:r>
        <w:r w:rsidRPr="00030313">
          <w:rPr>
            <w:rFonts w:ascii="Times New Roman" w:hAnsi="Times New Roman"/>
            <w:noProof/>
            <w:webHidden/>
            <w:sz w:val="28"/>
          </w:rPr>
          <w:t>3</w:t>
        </w:r>
        <w:r w:rsidRPr="00030313">
          <w:rPr>
            <w:rFonts w:ascii="Times New Roman" w:hAnsi="Times New Roman"/>
            <w:noProof/>
            <w:webHidden/>
            <w:sz w:val="28"/>
          </w:rPr>
          <w:fldChar w:fldCharType="end"/>
        </w:r>
      </w:hyperlink>
    </w:p>
    <w:p w:rsidR="00D66333" w:rsidRPr="00030313" w:rsidRDefault="00030313" w:rsidP="00C61937">
      <w:pPr>
        <w:pStyle w:val="TDC2"/>
        <w:tabs>
          <w:tab w:val="left" w:pos="960"/>
          <w:tab w:val="right" w:leader="dot" w:pos="8830"/>
        </w:tabs>
        <w:rPr>
          <w:rFonts w:ascii="Times New Roman" w:hAnsi="Times New Roman"/>
          <w:noProof/>
          <w:kern w:val="2"/>
          <w:sz w:val="28"/>
          <w:szCs w:val="24"/>
          <w:lang w:eastAsia="es-MX"/>
        </w:rPr>
      </w:pPr>
      <w:hyperlink w:anchor="_Toc183628554" w:history="1">
        <w:r w:rsidRPr="00030313">
          <w:rPr>
            <w:rStyle w:val="Hipervnculo"/>
            <w:rFonts w:ascii="Times New Roman" w:hAnsi="Times New Roman"/>
            <w:bCs/>
            <w:noProof/>
            <w:sz w:val="28"/>
          </w:rPr>
          <w:t>1.1.</w:t>
        </w:r>
        <w:r w:rsidRPr="00030313">
          <w:rPr>
            <w:rFonts w:ascii="Times New Roman" w:hAnsi="Times New Roman"/>
            <w:noProof/>
            <w:kern w:val="2"/>
            <w:sz w:val="28"/>
            <w:szCs w:val="24"/>
            <w:lang w:eastAsia="es-MX"/>
          </w:rPr>
          <w:tab/>
        </w:r>
        <w:r w:rsidRPr="00030313">
          <w:rPr>
            <w:rStyle w:val="Hipervnculo"/>
            <w:rFonts w:ascii="Times New Roman" w:hAnsi="Times New Roman"/>
            <w:noProof/>
            <w:sz w:val="28"/>
          </w:rPr>
          <w:t>Hechos probados</w:t>
        </w:r>
        <w:r w:rsidRPr="00030313">
          <w:rPr>
            <w:rFonts w:ascii="Times New Roman" w:hAnsi="Times New Roman"/>
            <w:noProof/>
            <w:webHidden/>
            <w:sz w:val="28"/>
          </w:rPr>
          <w:tab/>
        </w:r>
        <w:r w:rsidRPr="00030313">
          <w:rPr>
            <w:rFonts w:ascii="Times New Roman" w:hAnsi="Times New Roman"/>
            <w:noProof/>
            <w:webHidden/>
            <w:sz w:val="28"/>
          </w:rPr>
          <w:fldChar w:fldCharType="begin"/>
        </w:r>
        <w:r w:rsidRPr="00030313">
          <w:rPr>
            <w:rFonts w:ascii="Times New Roman" w:hAnsi="Times New Roman"/>
            <w:noProof/>
            <w:webHidden/>
            <w:sz w:val="28"/>
          </w:rPr>
          <w:instrText xml:space="preserve"> PAGEREF _Toc183628554 \h </w:instrText>
        </w:r>
        <w:r w:rsidRPr="00030313">
          <w:rPr>
            <w:rFonts w:ascii="Times New Roman" w:hAnsi="Times New Roman"/>
            <w:noProof/>
            <w:webHidden/>
            <w:sz w:val="28"/>
          </w:rPr>
        </w:r>
        <w:r w:rsidRPr="00030313">
          <w:rPr>
            <w:rFonts w:ascii="Times New Roman" w:hAnsi="Times New Roman"/>
            <w:noProof/>
            <w:webHidden/>
            <w:sz w:val="28"/>
          </w:rPr>
          <w:fldChar w:fldCharType="separate"/>
        </w:r>
        <w:r w:rsidRPr="00030313">
          <w:rPr>
            <w:rFonts w:ascii="Times New Roman" w:hAnsi="Times New Roman"/>
            <w:noProof/>
            <w:webHidden/>
            <w:sz w:val="28"/>
          </w:rPr>
          <w:t>3</w:t>
        </w:r>
        <w:r w:rsidRPr="00030313">
          <w:rPr>
            <w:rFonts w:ascii="Times New Roman" w:hAnsi="Times New Roman"/>
            <w:noProof/>
            <w:webHidden/>
            <w:sz w:val="28"/>
          </w:rPr>
          <w:fldChar w:fldCharType="end"/>
        </w:r>
      </w:hyperlink>
    </w:p>
    <w:p w:rsidR="00D66333" w:rsidRPr="00030313" w:rsidRDefault="00030313" w:rsidP="00C61937">
      <w:pPr>
        <w:pStyle w:val="TDC2"/>
        <w:tabs>
          <w:tab w:val="left" w:pos="960"/>
          <w:tab w:val="right" w:leader="dot" w:pos="8830"/>
        </w:tabs>
        <w:rPr>
          <w:rFonts w:ascii="Times New Roman" w:hAnsi="Times New Roman"/>
          <w:noProof/>
          <w:kern w:val="2"/>
          <w:sz w:val="28"/>
          <w:szCs w:val="24"/>
          <w:lang w:eastAsia="es-MX"/>
        </w:rPr>
      </w:pPr>
      <w:hyperlink w:anchor="_Toc183628555" w:history="1">
        <w:r w:rsidRPr="00030313">
          <w:rPr>
            <w:rStyle w:val="Hipervnculo"/>
            <w:rFonts w:ascii="Times New Roman" w:hAnsi="Times New Roman"/>
            <w:bCs/>
            <w:noProof/>
            <w:sz w:val="28"/>
          </w:rPr>
          <w:t>1.2.</w:t>
        </w:r>
        <w:r w:rsidRPr="00030313">
          <w:rPr>
            <w:rFonts w:ascii="Times New Roman" w:hAnsi="Times New Roman"/>
            <w:noProof/>
            <w:kern w:val="2"/>
            <w:sz w:val="28"/>
            <w:szCs w:val="24"/>
            <w:lang w:eastAsia="es-MX"/>
          </w:rPr>
          <w:tab/>
        </w:r>
        <w:r w:rsidRPr="00030313">
          <w:rPr>
            <w:rStyle w:val="Hipervnculo"/>
            <w:rFonts w:ascii="Times New Roman" w:hAnsi="Times New Roman"/>
            <w:noProof/>
            <w:sz w:val="28"/>
          </w:rPr>
          <w:t xml:space="preserve">La </w:t>
        </w:r>
        <w:r w:rsidRPr="00030313">
          <w:rPr>
            <w:rStyle w:val="Hipervnculo"/>
            <w:rFonts w:ascii="Times New Roman" w:hAnsi="Times New Roman"/>
            <w:noProof/>
            <w:sz w:val="28"/>
          </w:rPr>
          <w:t>acción de tutela</w:t>
        </w:r>
        <w:r w:rsidRPr="00030313">
          <w:rPr>
            <w:rFonts w:ascii="Times New Roman" w:hAnsi="Times New Roman"/>
            <w:noProof/>
            <w:webHidden/>
            <w:sz w:val="28"/>
          </w:rPr>
          <w:tab/>
        </w:r>
        <w:r w:rsidRPr="00030313">
          <w:rPr>
            <w:rFonts w:ascii="Times New Roman" w:hAnsi="Times New Roman"/>
            <w:noProof/>
            <w:webHidden/>
            <w:sz w:val="28"/>
          </w:rPr>
          <w:fldChar w:fldCharType="begin"/>
        </w:r>
        <w:r w:rsidRPr="00030313">
          <w:rPr>
            <w:rFonts w:ascii="Times New Roman" w:hAnsi="Times New Roman"/>
            <w:noProof/>
            <w:webHidden/>
            <w:sz w:val="28"/>
          </w:rPr>
          <w:instrText xml:space="preserve"> PAGEREF _Toc183628555 \h </w:instrText>
        </w:r>
        <w:r w:rsidRPr="00030313">
          <w:rPr>
            <w:rFonts w:ascii="Times New Roman" w:hAnsi="Times New Roman"/>
            <w:noProof/>
            <w:webHidden/>
            <w:sz w:val="28"/>
          </w:rPr>
        </w:r>
        <w:r w:rsidRPr="00030313">
          <w:rPr>
            <w:rFonts w:ascii="Times New Roman" w:hAnsi="Times New Roman"/>
            <w:noProof/>
            <w:webHidden/>
            <w:sz w:val="28"/>
          </w:rPr>
          <w:fldChar w:fldCharType="separate"/>
        </w:r>
        <w:r w:rsidRPr="00030313">
          <w:rPr>
            <w:rFonts w:ascii="Times New Roman" w:hAnsi="Times New Roman"/>
            <w:noProof/>
            <w:webHidden/>
            <w:sz w:val="28"/>
          </w:rPr>
          <w:t>4</w:t>
        </w:r>
        <w:r w:rsidRPr="00030313">
          <w:rPr>
            <w:rFonts w:ascii="Times New Roman" w:hAnsi="Times New Roman"/>
            <w:noProof/>
            <w:webHidden/>
            <w:sz w:val="28"/>
          </w:rPr>
          <w:fldChar w:fldCharType="end"/>
        </w:r>
      </w:hyperlink>
    </w:p>
    <w:p w:rsidR="00D66333" w:rsidRPr="00030313" w:rsidRDefault="00030313" w:rsidP="00C61937">
      <w:pPr>
        <w:pStyle w:val="TDC2"/>
        <w:tabs>
          <w:tab w:val="left" w:pos="960"/>
          <w:tab w:val="right" w:leader="dot" w:pos="8830"/>
        </w:tabs>
        <w:rPr>
          <w:rFonts w:ascii="Times New Roman" w:hAnsi="Times New Roman"/>
          <w:noProof/>
          <w:kern w:val="2"/>
          <w:sz w:val="28"/>
          <w:szCs w:val="24"/>
          <w:lang w:eastAsia="es-MX"/>
        </w:rPr>
      </w:pPr>
      <w:hyperlink w:anchor="_Toc183628556" w:history="1">
        <w:r w:rsidRPr="00030313">
          <w:rPr>
            <w:rStyle w:val="Hipervnculo"/>
            <w:rFonts w:ascii="Times New Roman" w:hAnsi="Times New Roman"/>
            <w:bCs/>
            <w:noProof/>
            <w:sz w:val="28"/>
          </w:rPr>
          <w:t>1.3.</w:t>
        </w:r>
        <w:r w:rsidRPr="00030313">
          <w:rPr>
            <w:rFonts w:ascii="Times New Roman" w:hAnsi="Times New Roman"/>
            <w:noProof/>
            <w:kern w:val="2"/>
            <w:sz w:val="28"/>
            <w:szCs w:val="24"/>
            <w:lang w:eastAsia="es-MX"/>
          </w:rPr>
          <w:tab/>
        </w:r>
        <w:r w:rsidRPr="00030313">
          <w:rPr>
            <w:rStyle w:val="Hipervnculo"/>
            <w:rFonts w:ascii="Times New Roman" w:hAnsi="Times New Roman"/>
            <w:noProof/>
            <w:sz w:val="28"/>
          </w:rPr>
          <w:t>Trámite procesal de la acción de tutela</w:t>
        </w:r>
        <w:r w:rsidRPr="00030313">
          <w:rPr>
            <w:rFonts w:ascii="Times New Roman" w:hAnsi="Times New Roman"/>
            <w:noProof/>
            <w:webHidden/>
            <w:sz w:val="28"/>
          </w:rPr>
          <w:tab/>
        </w:r>
        <w:r w:rsidRPr="00030313">
          <w:rPr>
            <w:rFonts w:ascii="Times New Roman" w:hAnsi="Times New Roman"/>
            <w:noProof/>
            <w:webHidden/>
            <w:sz w:val="28"/>
          </w:rPr>
          <w:fldChar w:fldCharType="begin"/>
        </w:r>
        <w:r w:rsidRPr="00030313">
          <w:rPr>
            <w:rFonts w:ascii="Times New Roman" w:hAnsi="Times New Roman"/>
            <w:noProof/>
            <w:webHidden/>
            <w:sz w:val="28"/>
          </w:rPr>
          <w:instrText xml:space="preserve"> PAGEREF _Toc183628556 \h </w:instrText>
        </w:r>
        <w:r w:rsidRPr="00030313">
          <w:rPr>
            <w:rFonts w:ascii="Times New Roman" w:hAnsi="Times New Roman"/>
            <w:noProof/>
            <w:webHidden/>
            <w:sz w:val="28"/>
          </w:rPr>
        </w:r>
        <w:r w:rsidRPr="00030313">
          <w:rPr>
            <w:rFonts w:ascii="Times New Roman" w:hAnsi="Times New Roman"/>
            <w:noProof/>
            <w:webHidden/>
            <w:sz w:val="28"/>
          </w:rPr>
          <w:fldChar w:fldCharType="separate"/>
        </w:r>
        <w:r w:rsidRPr="00030313">
          <w:rPr>
            <w:rFonts w:ascii="Times New Roman" w:hAnsi="Times New Roman"/>
            <w:noProof/>
            <w:webHidden/>
            <w:sz w:val="28"/>
          </w:rPr>
          <w:t>4</w:t>
        </w:r>
        <w:r w:rsidRPr="00030313">
          <w:rPr>
            <w:rFonts w:ascii="Times New Roman" w:hAnsi="Times New Roman"/>
            <w:noProof/>
            <w:webHidden/>
            <w:sz w:val="28"/>
          </w:rPr>
          <w:fldChar w:fldCharType="end"/>
        </w:r>
      </w:hyperlink>
    </w:p>
    <w:p w:rsidR="00D66333" w:rsidRPr="00030313" w:rsidRDefault="00030313" w:rsidP="00C61937">
      <w:pPr>
        <w:pStyle w:val="TDC2"/>
        <w:tabs>
          <w:tab w:val="left" w:pos="960"/>
          <w:tab w:val="right" w:leader="dot" w:pos="8830"/>
        </w:tabs>
        <w:rPr>
          <w:rFonts w:ascii="Times New Roman" w:hAnsi="Times New Roman"/>
          <w:noProof/>
          <w:kern w:val="2"/>
          <w:sz w:val="28"/>
          <w:szCs w:val="24"/>
          <w:lang w:eastAsia="es-MX"/>
        </w:rPr>
      </w:pPr>
      <w:hyperlink w:anchor="_Toc183628557" w:history="1">
        <w:r w:rsidRPr="00030313">
          <w:rPr>
            <w:rStyle w:val="Hipervnculo"/>
            <w:rFonts w:ascii="Times New Roman" w:hAnsi="Times New Roman"/>
            <w:bCs/>
            <w:noProof/>
            <w:sz w:val="28"/>
          </w:rPr>
          <w:t>1.4.</w:t>
        </w:r>
        <w:r w:rsidRPr="00030313">
          <w:rPr>
            <w:rFonts w:ascii="Times New Roman" w:hAnsi="Times New Roman"/>
            <w:noProof/>
            <w:kern w:val="2"/>
            <w:sz w:val="28"/>
            <w:szCs w:val="24"/>
            <w:lang w:eastAsia="es-MX"/>
          </w:rPr>
          <w:tab/>
        </w:r>
        <w:r w:rsidRPr="00030313">
          <w:rPr>
            <w:rStyle w:val="Hipervnculo"/>
            <w:rFonts w:ascii="Times New Roman" w:hAnsi="Times New Roman"/>
            <w:noProof/>
            <w:sz w:val="28"/>
          </w:rPr>
          <w:t>Actuaciones en sede de revisión</w:t>
        </w:r>
        <w:r w:rsidRPr="00030313">
          <w:rPr>
            <w:rFonts w:ascii="Times New Roman" w:hAnsi="Times New Roman"/>
            <w:noProof/>
            <w:webHidden/>
            <w:sz w:val="28"/>
          </w:rPr>
          <w:tab/>
        </w:r>
        <w:r w:rsidRPr="00030313">
          <w:rPr>
            <w:rFonts w:ascii="Times New Roman" w:hAnsi="Times New Roman"/>
            <w:noProof/>
            <w:webHidden/>
            <w:sz w:val="28"/>
          </w:rPr>
          <w:fldChar w:fldCharType="begin"/>
        </w:r>
        <w:r w:rsidRPr="00030313">
          <w:rPr>
            <w:rFonts w:ascii="Times New Roman" w:hAnsi="Times New Roman"/>
            <w:noProof/>
            <w:webHidden/>
            <w:sz w:val="28"/>
          </w:rPr>
          <w:instrText xml:space="preserve"> PAGEREF _Toc183628557 \h </w:instrText>
        </w:r>
        <w:r w:rsidRPr="00030313">
          <w:rPr>
            <w:rFonts w:ascii="Times New Roman" w:hAnsi="Times New Roman"/>
            <w:noProof/>
            <w:webHidden/>
            <w:sz w:val="28"/>
          </w:rPr>
        </w:r>
        <w:r w:rsidRPr="00030313">
          <w:rPr>
            <w:rFonts w:ascii="Times New Roman" w:hAnsi="Times New Roman"/>
            <w:noProof/>
            <w:webHidden/>
            <w:sz w:val="28"/>
          </w:rPr>
          <w:fldChar w:fldCharType="separate"/>
        </w:r>
        <w:r w:rsidRPr="00030313">
          <w:rPr>
            <w:rFonts w:ascii="Times New Roman" w:hAnsi="Times New Roman"/>
            <w:noProof/>
            <w:webHidden/>
            <w:sz w:val="28"/>
          </w:rPr>
          <w:t>6</w:t>
        </w:r>
        <w:r w:rsidRPr="00030313">
          <w:rPr>
            <w:rFonts w:ascii="Times New Roman" w:hAnsi="Times New Roman"/>
            <w:noProof/>
            <w:webHidden/>
            <w:sz w:val="28"/>
          </w:rPr>
          <w:fldChar w:fldCharType="end"/>
        </w:r>
      </w:hyperlink>
    </w:p>
    <w:p w:rsidR="00D66333" w:rsidRPr="00030313" w:rsidRDefault="00030313" w:rsidP="00C61937">
      <w:pPr>
        <w:pStyle w:val="TDC2"/>
        <w:tabs>
          <w:tab w:val="left" w:pos="960"/>
          <w:tab w:val="right" w:leader="dot" w:pos="8830"/>
        </w:tabs>
        <w:rPr>
          <w:rFonts w:ascii="Times New Roman" w:hAnsi="Times New Roman"/>
          <w:noProof/>
          <w:kern w:val="2"/>
          <w:sz w:val="28"/>
          <w:szCs w:val="24"/>
          <w:lang w:eastAsia="es-MX"/>
        </w:rPr>
      </w:pPr>
      <w:hyperlink w:anchor="_Toc183628558" w:history="1">
        <w:r w:rsidRPr="00030313">
          <w:rPr>
            <w:rStyle w:val="Hipervnculo"/>
            <w:rFonts w:ascii="Times New Roman" w:hAnsi="Times New Roman"/>
            <w:bCs/>
            <w:noProof/>
            <w:sz w:val="28"/>
          </w:rPr>
          <w:t>1.5.</w:t>
        </w:r>
        <w:r w:rsidRPr="00030313">
          <w:rPr>
            <w:rFonts w:ascii="Times New Roman" w:hAnsi="Times New Roman"/>
            <w:noProof/>
            <w:kern w:val="2"/>
            <w:sz w:val="28"/>
            <w:szCs w:val="24"/>
            <w:lang w:eastAsia="es-MX"/>
          </w:rPr>
          <w:tab/>
        </w:r>
        <w:r w:rsidRPr="00030313">
          <w:rPr>
            <w:rStyle w:val="Hipervnculo"/>
            <w:rFonts w:ascii="Times New Roman" w:hAnsi="Times New Roman"/>
            <w:noProof/>
            <w:sz w:val="28"/>
          </w:rPr>
          <w:t>Auto de pruebas del 28 de junio de 2024</w:t>
        </w:r>
        <w:r w:rsidRPr="00030313">
          <w:rPr>
            <w:rFonts w:ascii="Times New Roman" w:hAnsi="Times New Roman"/>
            <w:noProof/>
            <w:webHidden/>
            <w:sz w:val="28"/>
          </w:rPr>
          <w:tab/>
        </w:r>
        <w:r w:rsidRPr="00030313">
          <w:rPr>
            <w:rFonts w:ascii="Times New Roman" w:hAnsi="Times New Roman"/>
            <w:noProof/>
            <w:webHidden/>
            <w:sz w:val="28"/>
          </w:rPr>
          <w:fldChar w:fldCharType="begin"/>
        </w:r>
        <w:r w:rsidRPr="00030313">
          <w:rPr>
            <w:rFonts w:ascii="Times New Roman" w:hAnsi="Times New Roman"/>
            <w:noProof/>
            <w:webHidden/>
            <w:sz w:val="28"/>
          </w:rPr>
          <w:instrText xml:space="preserve"> PAGEREF _Toc183628558 \h </w:instrText>
        </w:r>
        <w:r w:rsidRPr="00030313">
          <w:rPr>
            <w:rFonts w:ascii="Times New Roman" w:hAnsi="Times New Roman"/>
            <w:noProof/>
            <w:webHidden/>
            <w:sz w:val="28"/>
          </w:rPr>
        </w:r>
        <w:r w:rsidRPr="00030313">
          <w:rPr>
            <w:rFonts w:ascii="Times New Roman" w:hAnsi="Times New Roman"/>
            <w:noProof/>
            <w:webHidden/>
            <w:sz w:val="28"/>
          </w:rPr>
          <w:fldChar w:fldCharType="separate"/>
        </w:r>
        <w:r w:rsidRPr="00030313">
          <w:rPr>
            <w:rFonts w:ascii="Times New Roman" w:hAnsi="Times New Roman"/>
            <w:noProof/>
            <w:webHidden/>
            <w:sz w:val="28"/>
          </w:rPr>
          <w:t>8</w:t>
        </w:r>
        <w:r w:rsidRPr="00030313">
          <w:rPr>
            <w:rFonts w:ascii="Times New Roman" w:hAnsi="Times New Roman"/>
            <w:noProof/>
            <w:webHidden/>
            <w:sz w:val="28"/>
          </w:rPr>
          <w:fldChar w:fldCharType="end"/>
        </w:r>
      </w:hyperlink>
    </w:p>
    <w:p w:rsidR="00D66333" w:rsidRPr="00030313" w:rsidRDefault="00030313" w:rsidP="00C61937">
      <w:pPr>
        <w:pStyle w:val="TDC1"/>
        <w:rPr>
          <w:rFonts w:ascii="Times New Roman" w:hAnsi="Times New Roman"/>
          <w:noProof/>
          <w:kern w:val="2"/>
          <w:sz w:val="28"/>
          <w:szCs w:val="24"/>
          <w:lang w:eastAsia="es-MX"/>
        </w:rPr>
      </w:pPr>
      <w:hyperlink w:anchor="_Toc183628559" w:history="1">
        <w:r w:rsidRPr="00030313">
          <w:rPr>
            <w:rStyle w:val="Hipervnculo"/>
            <w:rFonts w:ascii="Times New Roman" w:hAnsi="Times New Roman"/>
            <w:noProof/>
            <w:sz w:val="28"/>
          </w:rPr>
          <w:t>II.</w:t>
        </w:r>
        <w:r w:rsidRPr="00030313">
          <w:rPr>
            <w:rFonts w:ascii="Times New Roman" w:hAnsi="Times New Roman"/>
            <w:noProof/>
            <w:kern w:val="2"/>
            <w:sz w:val="28"/>
            <w:szCs w:val="24"/>
            <w:lang w:eastAsia="es-MX"/>
          </w:rPr>
          <w:tab/>
        </w:r>
        <w:r w:rsidRPr="00030313">
          <w:rPr>
            <w:rStyle w:val="Hipervnculo"/>
            <w:rFonts w:ascii="Times New Roman" w:hAnsi="Times New Roman"/>
            <w:noProof/>
            <w:sz w:val="28"/>
          </w:rPr>
          <w:t>CONSIDERACIONES</w:t>
        </w:r>
        <w:r w:rsidRPr="00030313">
          <w:rPr>
            <w:rFonts w:ascii="Times New Roman" w:hAnsi="Times New Roman"/>
            <w:noProof/>
            <w:webHidden/>
            <w:sz w:val="28"/>
          </w:rPr>
          <w:tab/>
        </w:r>
        <w:r w:rsidRPr="00030313">
          <w:rPr>
            <w:rFonts w:ascii="Times New Roman" w:hAnsi="Times New Roman"/>
            <w:noProof/>
            <w:webHidden/>
            <w:sz w:val="28"/>
          </w:rPr>
          <w:fldChar w:fldCharType="begin"/>
        </w:r>
        <w:r w:rsidRPr="00030313">
          <w:rPr>
            <w:rFonts w:ascii="Times New Roman" w:hAnsi="Times New Roman"/>
            <w:noProof/>
            <w:webHidden/>
            <w:sz w:val="28"/>
          </w:rPr>
          <w:instrText xml:space="preserve"> PAGEREF _Toc183628559 \h </w:instrText>
        </w:r>
        <w:r w:rsidRPr="00030313">
          <w:rPr>
            <w:rFonts w:ascii="Times New Roman" w:hAnsi="Times New Roman"/>
            <w:noProof/>
            <w:webHidden/>
            <w:sz w:val="28"/>
          </w:rPr>
        </w:r>
        <w:r w:rsidRPr="00030313">
          <w:rPr>
            <w:rFonts w:ascii="Times New Roman" w:hAnsi="Times New Roman"/>
            <w:noProof/>
            <w:webHidden/>
            <w:sz w:val="28"/>
          </w:rPr>
          <w:fldChar w:fldCharType="separate"/>
        </w:r>
        <w:r w:rsidRPr="00030313">
          <w:rPr>
            <w:rFonts w:ascii="Times New Roman" w:hAnsi="Times New Roman"/>
            <w:noProof/>
            <w:webHidden/>
            <w:sz w:val="28"/>
          </w:rPr>
          <w:t>12</w:t>
        </w:r>
        <w:r w:rsidRPr="00030313">
          <w:rPr>
            <w:rFonts w:ascii="Times New Roman" w:hAnsi="Times New Roman"/>
            <w:noProof/>
            <w:webHidden/>
            <w:sz w:val="28"/>
          </w:rPr>
          <w:fldChar w:fldCharType="end"/>
        </w:r>
      </w:hyperlink>
    </w:p>
    <w:p w:rsidR="00D66333" w:rsidRPr="00030313" w:rsidRDefault="00030313" w:rsidP="00C61937">
      <w:pPr>
        <w:pStyle w:val="TDC2"/>
        <w:tabs>
          <w:tab w:val="left" w:pos="960"/>
          <w:tab w:val="right" w:leader="dot" w:pos="8830"/>
        </w:tabs>
        <w:rPr>
          <w:rFonts w:ascii="Times New Roman" w:hAnsi="Times New Roman"/>
          <w:noProof/>
          <w:kern w:val="2"/>
          <w:sz w:val="28"/>
          <w:szCs w:val="24"/>
          <w:lang w:eastAsia="es-MX"/>
        </w:rPr>
      </w:pPr>
      <w:hyperlink w:anchor="_Toc183628560" w:history="1">
        <w:r w:rsidRPr="00030313">
          <w:rPr>
            <w:rStyle w:val="Hipervnculo"/>
            <w:rFonts w:ascii="Times New Roman" w:hAnsi="Times New Roman"/>
            <w:bCs/>
            <w:noProof/>
            <w:sz w:val="28"/>
          </w:rPr>
          <w:t>2.1.</w:t>
        </w:r>
        <w:r w:rsidRPr="00030313">
          <w:rPr>
            <w:rFonts w:ascii="Times New Roman" w:hAnsi="Times New Roman"/>
            <w:noProof/>
            <w:kern w:val="2"/>
            <w:sz w:val="28"/>
            <w:szCs w:val="24"/>
            <w:lang w:eastAsia="es-MX"/>
          </w:rPr>
          <w:tab/>
        </w:r>
        <w:r w:rsidRPr="00030313">
          <w:rPr>
            <w:rStyle w:val="Hipervnculo"/>
            <w:rFonts w:ascii="Times New Roman" w:hAnsi="Times New Roman"/>
            <w:noProof/>
            <w:sz w:val="28"/>
          </w:rPr>
          <w:t>Competencia</w:t>
        </w:r>
        <w:r w:rsidRPr="00030313">
          <w:rPr>
            <w:rFonts w:ascii="Times New Roman" w:hAnsi="Times New Roman"/>
            <w:noProof/>
            <w:webHidden/>
            <w:sz w:val="28"/>
          </w:rPr>
          <w:tab/>
        </w:r>
        <w:r w:rsidRPr="00030313">
          <w:rPr>
            <w:rFonts w:ascii="Times New Roman" w:hAnsi="Times New Roman"/>
            <w:noProof/>
            <w:webHidden/>
            <w:sz w:val="28"/>
          </w:rPr>
          <w:fldChar w:fldCharType="begin"/>
        </w:r>
        <w:r w:rsidRPr="00030313">
          <w:rPr>
            <w:rFonts w:ascii="Times New Roman" w:hAnsi="Times New Roman"/>
            <w:noProof/>
            <w:webHidden/>
            <w:sz w:val="28"/>
          </w:rPr>
          <w:instrText xml:space="preserve"> PAGEREF _Toc183628560 \h </w:instrText>
        </w:r>
        <w:r w:rsidRPr="00030313">
          <w:rPr>
            <w:rFonts w:ascii="Times New Roman" w:hAnsi="Times New Roman"/>
            <w:noProof/>
            <w:webHidden/>
            <w:sz w:val="28"/>
          </w:rPr>
        </w:r>
        <w:r w:rsidRPr="00030313">
          <w:rPr>
            <w:rFonts w:ascii="Times New Roman" w:hAnsi="Times New Roman"/>
            <w:noProof/>
            <w:webHidden/>
            <w:sz w:val="28"/>
          </w:rPr>
          <w:fldChar w:fldCharType="separate"/>
        </w:r>
        <w:r w:rsidRPr="00030313">
          <w:rPr>
            <w:rFonts w:ascii="Times New Roman" w:hAnsi="Times New Roman"/>
            <w:noProof/>
            <w:webHidden/>
            <w:sz w:val="28"/>
          </w:rPr>
          <w:t>12</w:t>
        </w:r>
        <w:r w:rsidRPr="00030313">
          <w:rPr>
            <w:rFonts w:ascii="Times New Roman" w:hAnsi="Times New Roman"/>
            <w:noProof/>
            <w:webHidden/>
            <w:sz w:val="28"/>
          </w:rPr>
          <w:fldChar w:fldCharType="end"/>
        </w:r>
      </w:hyperlink>
    </w:p>
    <w:p w:rsidR="00D66333" w:rsidRPr="00030313" w:rsidRDefault="00030313" w:rsidP="00C61937">
      <w:pPr>
        <w:pStyle w:val="TDC2"/>
        <w:tabs>
          <w:tab w:val="left" w:pos="960"/>
          <w:tab w:val="right" w:leader="dot" w:pos="8830"/>
        </w:tabs>
        <w:rPr>
          <w:rFonts w:ascii="Times New Roman" w:hAnsi="Times New Roman"/>
          <w:noProof/>
          <w:kern w:val="2"/>
          <w:sz w:val="28"/>
          <w:szCs w:val="24"/>
          <w:lang w:eastAsia="es-MX"/>
        </w:rPr>
      </w:pPr>
      <w:hyperlink w:anchor="_Toc183628561" w:history="1">
        <w:r w:rsidRPr="00030313">
          <w:rPr>
            <w:rStyle w:val="Hipervnculo"/>
            <w:rFonts w:ascii="Times New Roman" w:hAnsi="Times New Roman"/>
            <w:bCs/>
            <w:noProof/>
            <w:sz w:val="28"/>
          </w:rPr>
          <w:t>2.2.</w:t>
        </w:r>
        <w:r w:rsidRPr="00030313">
          <w:rPr>
            <w:rFonts w:ascii="Times New Roman" w:hAnsi="Times New Roman"/>
            <w:noProof/>
            <w:kern w:val="2"/>
            <w:sz w:val="28"/>
            <w:szCs w:val="24"/>
            <w:lang w:eastAsia="es-MX"/>
          </w:rPr>
          <w:tab/>
        </w:r>
        <w:r w:rsidRPr="00030313">
          <w:rPr>
            <w:rStyle w:val="Hipervnculo"/>
            <w:rFonts w:ascii="Times New Roman" w:hAnsi="Times New Roman"/>
            <w:noProof/>
            <w:sz w:val="28"/>
          </w:rPr>
          <w:t>Análisi</w:t>
        </w:r>
        <w:r w:rsidRPr="00030313">
          <w:rPr>
            <w:rStyle w:val="Hipervnculo"/>
            <w:rFonts w:ascii="Times New Roman" w:hAnsi="Times New Roman"/>
            <w:noProof/>
            <w:sz w:val="28"/>
          </w:rPr>
          <w:t>s de procedencia de la acción de tutela</w:t>
        </w:r>
        <w:r w:rsidRPr="00030313">
          <w:rPr>
            <w:rFonts w:ascii="Times New Roman" w:hAnsi="Times New Roman"/>
            <w:noProof/>
            <w:webHidden/>
            <w:sz w:val="28"/>
          </w:rPr>
          <w:tab/>
        </w:r>
        <w:r w:rsidRPr="00030313">
          <w:rPr>
            <w:rFonts w:ascii="Times New Roman" w:hAnsi="Times New Roman"/>
            <w:noProof/>
            <w:webHidden/>
            <w:sz w:val="28"/>
          </w:rPr>
          <w:fldChar w:fldCharType="begin"/>
        </w:r>
        <w:r w:rsidRPr="00030313">
          <w:rPr>
            <w:rFonts w:ascii="Times New Roman" w:hAnsi="Times New Roman"/>
            <w:noProof/>
            <w:webHidden/>
            <w:sz w:val="28"/>
          </w:rPr>
          <w:instrText xml:space="preserve"> PAGEREF _Toc183628561 \h </w:instrText>
        </w:r>
        <w:r w:rsidRPr="00030313">
          <w:rPr>
            <w:rFonts w:ascii="Times New Roman" w:hAnsi="Times New Roman"/>
            <w:noProof/>
            <w:webHidden/>
            <w:sz w:val="28"/>
          </w:rPr>
        </w:r>
        <w:r w:rsidRPr="00030313">
          <w:rPr>
            <w:rFonts w:ascii="Times New Roman" w:hAnsi="Times New Roman"/>
            <w:noProof/>
            <w:webHidden/>
            <w:sz w:val="28"/>
          </w:rPr>
          <w:fldChar w:fldCharType="separate"/>
        </w:r>
        <w:r w:rsidRPr="00030313">
          <w:rPr>
            <w:rFonts w:ascii="Times New Roman" w:hAnsi="Times New Roman"/>
            <w:noProof/>
            <w:webHidden/>
            <w:sz w:val="28"/>
          </w:rPr>
          <w:t>12</w:t>
        </w:r>
        <w:r w:rsidRPr="00030313">
          <w:rPr>
            <w:rFonts w:ascii="Times New Roman" w:hAnsi="Times New Roman"/>
            <w:noProof/>
            <w:webHidden/>
            <w:sz w:val="28"/>
          </w:rPr>
          <w:fldChar w:fldCharType="end"/>
        </w:r>
      </w:hyperlink>
    </w:p>
    <w:p w:rsidR="00D66333" w:rsidRPr="00030313" w:rsidRDefault="00030313" w:rsidP="00C61937">
      <w:pPr>
        <w:pStyle w:val="TDC2"/>
        <w:tabs>
          <w:tab w:val="left" w:pos="960"/>
          <w:tab w:val="right" w:leader="dot" w:pos="8830"/>
        </w:tabs>
        <w:rPr>
          <w:rFonts w:ascii="Times New Roman" w:hAnsi="Times New Roman"/>
          <w:noProof/>
          <w:kern w:val="2"/>
          <w:sz w:val="28"/>
          <w:szCs w:val="24"/>
          <w:lang w:eastAsia="es-MX"/>
        </w:rPr>
      </w:pPr>
      <w:hyperlink w:anchor="_Toc183628562" w:history="1">
        <w:r w:rsidRPr="00030313">
          <w:rPr>
            <w:rStyle w:val="Hipervnculo"/>
            <w:rFonts w:ascii="Times New Roman" w:hAnsi="Times New Roman"/>
            <w:bCs/>
            <w:noProof/>
            <w:sz w:val="28"/>
          </w:rPr>
          <w:t>2.3.</w:t>
        </w:r>
        <w:r w:rsidRPr="00030313">
          <w:rPr>
            <w:rFonts w:ascii="Times New Roman" w:hAnsi="Times New Roman"/>
            <w:noProof/>
            <w:kern w:val="2"/>
            <w:sz w:val="28"/>
            <w:szCs w:val="24"/>
            <w:lang w:eastAsia="es-MX"/>
          </w:rPr>
          <w:tab/>
        </w:r>
        <w:r w:rsidRPr="00030313">
          <w:rPr>
            <w:rStyle w:val="Hipervnculo"/>
            <w:rFonts w:ascii="Times New Roman" w:hAnsi="Times New Roman"/>
            <w:noProof/>
            <w:sz w:val="28"/>
          </w:rPr>
          <w:t>Planteamiento del caso, formulación del problema jurídico y esquema de solución</w:t>
        </w:r>
        <w:r w:rsidRPr="00030313">
          <w:rPr>
            <w:rFonts w:ascii="Times New Roman" w:hAnsi="Times New Roman"/>
            <w:noProof/>
            <w:webHidden/>
            <w:sz w:val="28"/>
          </w:rPr>
          <w:tab/>
        </w:r>
        <w:r w:rsidRPr="00030313">
          <w:rPr>
            <w:rFonts w:ascii="Times New Roman" w:hAnsi="Times New Roman"/>
            <w:noProof/>
            <w:webHidden/>
            <w:sz w:val="28"/>
          </w:rPr>
          <w:fldChar w:fldCharType="begin"/>
        </w:r>
        <w:r w:rsidRPr="00030313">
          <w:rPr>
            <w:rFonts w:ascii="Times New Roman" w:hAnsi="Times New Roman"/>
            <w:noProof/>
            <w:webHidden/>
            <w:sz w:val="28"/>
          </w:rPr>
          <w:instrText xml:space="preserve"> PAGEREF _Toc183628562 \h </w:instrText>
        </w:r>
        <w:r w:rsidRPr="00030313">
          <w:rPr>
            <w:rFonts w:ascii="Times New Roman" w:hAnsi="Times New Roman"/>
            <w:noProof/>
            <w:webHidden/>
            <w:sz w:val="28"/>
          </w:rPr>
        </w:r>
        <w:r w:rsidRPr="00030313">
          <w:rPr>
            <w:rFonts w:ascii="Times New Roman" w:hAnsi="Times New Roman"/>
            <w:noProof/>
            <w:webHidden/>
            <w:sz w:val="28"/>
          </w:rPr>
          <w:fldChar w:fldCharType="separate"/>
        </w:r>
        <w:r w:rsidRPr="00030313">
          <w:rPr>
            <w:rFonts w:ascii="Times New Roman" w:hAnsi="Times New Roman"/>
            <w:noProof/>
            <w:webHidden/>
            <w:sz w:val="28"/>
          </w:rPr>
          <w:t>16</w:t>
        </w:r>
        <w:r w:rsidRPr="00030313">
          <w:rPr>
            <w:rFonts w:ascii="Times New Roman" w:hAnsi="Times New Roman"/>
            <w:noProof/>
            <w:webHidden/>
            <w:sz w:val="28"/>
          </w:rPr>
          <w:fldChar w:fldCharType="end"/>
        </w:r>
      </w:hyperlink>
    </w:p>
    <w:p w:rsidR="00D66333" w:rsidRPr="00030313" w:rsidRDefault="00030313" w:rsidP="00C61937">
      <w:pPr>
        <w:pStyle w:val="TDC2"/>
        <w:tabs>
          <w:tab w:val="left" w:pos="960"/>
          <w:tab w:val="right" w:leader="dot" w:pos="8830"/>
        </w:tabs>
        <w:rPr>
          <w:rFonts w:ascii="Times New Roman" w:hAnsi="Times New Roman"/>
          <w:noProof/>
          <w:kern w:val="2"/>
          <w:sz w:val="28"/>
          <w:szCs w:val="24"/>
          <w:lang w:eastAsia="es-MX"/>
        </w:rPr>
      </w:pPr>
      <w:hyperlink w:anchor="_Toc183628563" w:history="1">
        <w:r w:rsidRPr="00030313">
          <w:rPr>
            <w:rStyle w:val="Hipervnculo"/>
            <w:rFonts w:ascii="Times New Roman" w:hAnsi="Times New Roman"/>
            <w:bCs/>
            <w:noProof/>
            <w:sz w:val="28"/>
          </w:rPr>
          <w:t>2.4.</w:t>
        </w:r>
        <w:r w:rsidRPr="00030313">
          <w:rPr>
            <w:rFonts w:ascii="Times New Roman" w:hAnsi="Times New Roman"/>
            <w:noProof/>
            <w:kern w:val="2"/>
            <w:sz w:val="28"/>
            <w:szCs w:val="24"/>
            <w:lang w:eastAsia="es-MX"/>
          </w:rPr>
          <w:tab/>
        </w:r>
        <w:r w:rsidRPr="00030313">
          <w:rPr>
            <w:rStyle w:val="Hipervnculo"/>
            <w:rFonts w:ascii="Times New Roman" w:hAnsi="Times New Roman"/>
            <w:noProof/>
            <w:sz w:val="28"/>
          </w:rPr>
          <w:t>El derecho a la igualdad en el ordenamiento constitucional y la prohibición de discriminación</w:t>
        </w:r>
        <w:r w:rsidRPr="00030313">
          <w:rPr>
            <w:rFonts w:ascii="Times New Roman" w:hAnsi="Times New Roman"/>
            <w:noProof/>
            <w:webHidden/>
            <w:sz w:val="28"/>
          </w:rPr>
          <w:tab/>
        </w:r>
        <w:r w:rsidRPr="00030313">
          <w:rPr>
            <w:rFonts w:ascii="Times New Roman" w:hAnsi="Times New Roman"/>
            <w:noProof/>
            <w:webHidden/>
            <w:sz w:val="28"/>
          </w:rPr>
          <w:fldChar w:fldCharType="begin"/>
        </w:r>
        <w:r w:rsidRPr="00030313">
          <w:rPr>
            <w:rFonts w:ascii="Times New Roman" w:hAnsi="Times New Roman"/>
            <w:noProof/>
            <w:webHidden/>
            <w:sz w:val="28"/>
          </w:rPr>
          <w:instrText xml:space="preserve"> PAGEREF _Toc183628563 \h </w:instrText>
        </w:r>
        <w:r w:rsidRPr="00030313">
          <w:rPr>
            <w:rFonts w:ascii="Times New Roman" w:hAnsi="Times New Roman"/>
            <w:noProof/>
            <w:webHidden/>
            <w:sz w:val="28"/>
          </w:rPr>
        </w:r>
        <w:r w:rsidRPr="00030313">
          <w:rPr>
            <w:rFonts w:ascii="Times New Roman" w:hAnsi="Times New Roman"/>
            <w:noProof/>
            <w:webHidden/>
            <w:sz w:val="28"/>
          </w:rPr>
          <w:fldChar w:fldCharType="separate"/>
        </w:r>
        <w:r w:rsidRPr="00030313">
          <w:rPr>
            <w:rFonts w:ascii="Times New Roman" w:hAnsi="Times New Roman"/>
            <w:noProof/>
            <w:webHidden/>
            <w:sz w:val="28"/>
          </w:rPr>
          <w:t>18</w:t>
        </w:r>
        <w:r w:rsidRPr="00030313">
          <w:rPr>
            <w:rFonts w:ascii="Times New Roman" w:hAnsi="Times New Roman"/>
            <w:noProof/>
            <w:webHidden/>
            <w:sz w:val="28"/>
          </w:rPr>
          <w:fldChar w:fldCharType="end"/>
        </w:r>
      </w:hyperlink>
    </w:p>
    <w:p w:rsidR="00D66333" w:rsidRPr="00030313" w:rsidRDefault="00030313" w:rsidP="00C61937">
      <w:pPr>
        <w:pStyle w:val="TDC2"/>
        <w:tabs>
          <w:tab w:val="left" w:pos="960"/>
          <w:tab w:val="right" w:leader="dot" w:pos="8830"/>
        </w:tabs>
        <w:rPr>
          <w:rFonts w:ascii="Times New Roman" w:hAnsi="Times New Roman"/>
          <w:noProof/>
          <w:kern w:val="2"/>
          <w:sz w:val="28"/>
          <w:szCs w:val="24"/>
          <w:lang w:eastAsia="es-MX"/>
        </w:rPr>
      </w:pPr>
      <w:hyperlink w:anchor="_Toc183628564" w:history="1">
        <w:r w:rsidRPr="00030313">
          <w:rPr>
            <w:rStyle w:val="Hipervnculo"/>
            <w:rFonts w:ascii="Times New Roman" w:hAnsi="Times New Roman"/>
            <w:noProof/>
            <w:sz w:val="28"/>
          </w:rPr>
          <w:t>2.5</w:t>
        </w:r>
        <w:r w:rsidRPr="00030313">
          <w:rPr>
            <w:rFonts w:ascii="Times New Roman" w:hAnsi="Times New Roman"/>
            <w:noProof/>
            <w:kern w:val="2"/>
            <w:sz w:val="28"/>
            <w:szCs w:val="24"/>
            <w:lang w:eastAsia="es-MX"/>
          </w:rPr>
          <w:tab/>
        </w:r>
        <w:r w:rsidRPr="00030313">
          <w:rPr>
            <w:rStyle w:val="Hipervnculo"/>
            <w:rFonts w:ascii="Times New Roman" w:hAnsi="Times New Roman"/>
            <w:noProof/>
            <w:sz w:val="28"/>
          </w:rPr>
          <w:t>. La identidad de género en la jurisprudencia constitucional y su relación con el derecho al libre desarrollo de la personalidad</w:t>
        </w:r>
        <w:r w:rsidRPr="00030313">
          <w:rPr>
            <w:rFonts w:ascii="Times New Roman" w:hAnsi="Times New Roman"/>
            <w:noProof/>
            <w:webHidden/>
            <w:sz w:val="28"/>
          </w:rPr>
          <w:tab/>
        </w:r>
        <w:r w:rsidRPr="00030313">
          <w:rPr>
            <w:rFonts w:ascii="Times New Roman" w:hAnsi="Times New Roman"/>
            <w:noProof/>
            <w:webHidden/>
            <w:sz w:val="28"/>
          </w:rPr>
          <w:fldChar w:fldCharType="begin"/>
        </w:r>
        <w:r w:rsidRPr="00030313">
          <w:rPr>
            <w:rFonts w:ascii="Times New Roman" w:hAnsi="Times New Roman"/>
            <w:noProof/>
            <w:webHidden/>
            <w:sz w:val="28"/>
          </w:rPr>
          <w:instrText xml:space="preserve"> PAGEREF _Toc183628</w:instrText>
        </w:r>
        <w:r w:rsidRPr="00030313">
          <w:rPr>
            <w:rFonts w:ascii="Times New Roman" w:hAnsi="Times New Roman"/>
            <w:noProof/>
            <w:webHidden/>
            <w:sz w:val="28"/>
          </w:rPr>
          <w:instrText xml:space="preserve">564 \h </w:instrText>
        </w:r>
        <w:r w:rsidRPr="00030313">
          <w:rPr>
            <w:rFonts w:ascii="Times New Roman" w:hAnsi="Times New Roman"/>
            <w:noProof/>
            <w:webHidden/>
            <w:sz w:val="28"/>
          </w:rPr>
        </w:r>
        <w:r w:rsidRPr="00030313">
          <w:rPr>
            <w:rFonts w:ascii="Times New Roman" w:hAnsi="Times New Roman"/>
            <w:noProof/>
            <w:webHidden/>
            <w:sz w:val="28"/>
          </w:rPr>
          <w:fldChar w:fldCharType="separate"/>
        </w:r>
        <w:r w:rsidRPr="00030313">
          <w:rPr>
            <w:rFonts w:ascii="Times New Roman" w:hAnsi="Times New Roman"/>
            <w:noProof/>
            <w:webHidden/>
            <w:sz w:val="28"/>
          </w:rPr>
          <w:t>22</w:t>
        </w:r>
        <w:r w:rsidRPr="00030313">
          <w:rPr>
            <w:rFonts w:ascii="Times New Roman" w:hAnsi="Times New Roman"/>
            <w:noProof/>
            <w:webHidden/>
            <w:sz w:val="28"/>
          </w:rPr>
          <w:fldChar w:fldCharType="end"/>
        </w:r>
      </w:hyperlink>
    </w:p>
    <w:p w:rsidR="00D66333" w:rsidRPr="00030313" w:rsidRDefault="00030313" w:rsidP="00C61937">
      <w:pPr>
        <w:pStyle w:val="TDC2"/>
        <w:tabs>
          <w:tab w:val="left" w:pos="960"/>
          <w:tab w:val="right" w:leader="dot" w:pos="8830"/>
        </w:tabs>
        <w:rPr>
          <w:rFonts w:ascii="Times New Roman" w:hAnsi="Times New Roman"/>
          <w:noProof/>
          <w:kern w:val="2"/>
          <w:sz w:val="28"/>
          <w:szCs w:val="24"/>
          <w:lang w:eastAsia="es-MX"/>
        </w:rPr>
      </w:pPr>
      <w:hyperlink w:anchor="_Toc183628565" w:history="1">
        <w:r w:rsidRPr="00030313">
          <w:rPr>
            <w:rStyle w:val="Hipervnculo"/>
            <w:rFonts w:ascii="Times New Roman" w:hAnsi="Times New Roman"/>
            <w:noProof/>
            <w:sz w:val="28"/>
          </w:rPr>
          <w:t>2.6.</w:t>
        </w:r>
        <w:r w:rsidRPr="00030313">
          <w:rPr>
            <w:rFonts w:ascii="Times New Roman" w:hAnsi="Times New Roman"/>
            <w:noProof/>
            <w:kern w:val="2"/>
            <w:sz w:val="28"/>
            <w:szCs w:val="24"/>
            <w:lang w:eastAsia="es-MX"/>
          </w:rPr>
          <w:tab/>
        </w:r>
        <w:r w:rsidRPr="00030313">
          <w:rPr>
            <w:rStyle w:val="Hipervnculo"/>
            <w:rFonts w:ascii="Times New Roman" w:hAnsi="Times New Roman"/>
            <w:noProof/>
            <w:sz w:val="28"/>
          </w:rPr>
          <w:t>La personalidad jurídica y la cédula de ciudadanía digital</w:t>
        </w:r>
        <w:r w:rsidRPr="00030313">
          <w:rPr>
            <w:rFonts w:ascii="Times New Roman" w:hAnsi="Times New Roman"/>
            <w:noProof/>
            <w:webHidden/>
            <w:sz w:val="28"/>
          </w:rPr>
          <w:tab/>
        </w:r>
        <w:r w:rsidRPr="00030313">
          <w:rPr>
            <w:rFonts w:ascii="Times New Roman" w:hAnsi="Times New Roman"/>
            <w:noProof/>
            <w:webHidden/>
            <w:sz w:val="28"/>
          </w:rPr>
          <w:fldChar w:fldCharType="begin"/>
        </w:r>
        <w:r w:rsidRPr="00030313">
          <w:rPr>
            <w:rFonts w:ascii="Times New Roman" w:hAnsi="Times New Roman"/>
            <w:noProof/>
            <w:webHidden/>
            <w:sz w:val="28"/>
          </w:rPr>
          <w:instrText xml:space="preserve"> PAGEREF _Toc183628565 \h </w:instrText>
        </w:r>
        <w:r w:rsidRPr="00030313">
          <w:rPr>
            <w:rFonts w:ascii="Times New Roman" w:hAnsi="Times New Roman"/>
            <w:noProof/>
            <w:webHidden/>
            <w:sz w:val="28"/>
          </w:rPr>
        </w:r>
        <w:r w:rsidRPr="00030313">
          <w:rPr>
            <w:rFonts w:ascii="Times New Roman" w:hAnsi="Times New Roman"/>
            <w:noProof/>
            <w:webHidden/>
            <w:sz w:val="28"/>
          </w:rPr>
          <w:fldChar w:fldCharType="separate"/>
        </w:r>
        <w:r w:rsidRPr="00030313">
          <w:rPr>
            <w:rFonts w:ascii="Times New Roman" w:hAnsi="Times New Roman"/>
            <w:noProof/>
            <w:webHidden/>
            <w:sz w:val="28"/>
          </w:rPr>
          <w:t>30</w:t>
        </w:r>
        <w:r w:rsidRPr="00030313">
          <w:rPr>
            <w:rFonts w:ascii="Times New Roman" w:hAnsi="Times New Roman"/>
            <w:noProof/>
            <w:webHidden/>
            <w:sz w:val="28"/>
          </w:rPr>
          <w:fldChar w:fldCharType="end"/>
        </w:r>
      </w:hyperlink>
    </w:p>
    <w:p w:rsidR="00D66333" w:rsidRPr="00030313" w:rsidRDefault="00030313" w:rsidP="00C61937">
      <w:pPr>
        <w:pStyle w:val="TDC2"/>
        <w:tabs>
          <w:tab w:val="left" w:pos="960"/>
          <w:tab w:val="right" w:leader="dot" w:pos="8830"/>
        </w:tabs>
        <w:rPr>
          <w:rFonts w:ascii="Times New Roman" w:hAnsi="Times New Roman"/>
          <w:noProof/>
          <w:kern w:val="2"/>
          <w:sz w:val="28"/>
          <w:szCs w:val="24"/>
          <w:lang w:eastAsia="es-MX"/>
        </w:rPr>
      </w:pPr>
      <w:hyperlink w:anchor="_Toc183628566" w:history="1">
        <w:r w:rsidRPr="00030313">
          <w:rPr>
            <w:rStyle w:val="Hipervnculo"/>
            <w:rFonts w:ascii="Times New Roman" w:hAnsi="Times New Roman"/>
            <w:iCs/>
            <w:noProof/>
            <w:sz w:val="28"/>
          </w:rPr>
          <w:t>2.7</w:t>
        </w:r>
        <w:r w:rsidRPr="00030313">
          <w:rPr>
            <w:rFonts w:ascii="Times New Roman" w:hAnsi="Times New Roman"/>
            <w:noProof/>
            <w:kern w:val="2"/>
            <w:sz w:val="28"/>
            <w:szCs w:val="24"/>
            <w:lang w:eastAsia="es-MX"/>
          </w:rPr>
          <w:tab/>
        </w:r>
        <w:r w:rsidRPr="00030313">
          <w:rPr>
            <w:rStyle w:val="Hipervnculo"/>
            <w:rFonts w:ascii="Times New Roman" w:hAnsi="Times New Roman"/>
            <w:noProof/>
            <w:sz w:val="28"/>
            <w:shd w:val="clear" w:color="auto" w:fill="FFFFFF"/>
          </w:rPr>
          <w:t>Análisis del caso concreto</w:t>
        </w:r>
        <w:r w:rsidRPr="00030313">
          <w:rPr>
            <w:rFonts w:ascii="Times New Roman" w:hAnsi="Times New Roman"/>
            <w:noProof/>
            <w:webHidden/>
            <w:sz w:val="28"/>
          </w:rPr>
          <w:tab/>
        </w:r>
        <w:r w:rsidRPr="00030313">
          <w:rPr>
            <w:rFonts w:ascii="Times New Roman" w:hAnsi="Times New Roman"/>
            <w:noProof/>
            <w:webHidden/>
            <w:sz w:val="28"/>
          </w:rPr>
          <w:fldChar w:fldCharType="begin"/>
        </w:r>
        <w:r w:rsidRPr="00030313">
          <w:rPr>
            <w:rFonts w:ascii="Times New Roman" w:hAnsi="Times New Roman"/>
            <w:noProof/>
            <w:webHidden/>
            <w:sz w:val="28"/>
          </w:rPr>
          <w:instrText xml:space="preserve"> PAGEREF _Toc183628566 \h </w:instrText>
        </w:r>
        <w:r w:rsidRPr="00030313">
          <w:rPr>
            <w:rFonts w:ascii="Times New Roman" w:hAnsi="Times New Roman"/>
            <w:noProof/>
            <w:webHidden/>
            <w:sz w:val="28"/>
          </w:rPr>
        </w:r>
        <w:r w:rsidRPr="00030313">
          <w:rPr>
            <w:rFonts w:ascii="Times New Roman" w:hAnsi="Times New Roman"/>
            <w:noProof/>
            <w:webHidden/>
            <w:sz w:val="28"/>
          </w:rPr>
          <w:fldChar w:fldCharType="separate"/>
        </w:r>
        <w:r w:rsidRPr="00030313">
          <w:rPr>
            <w:rFonts w:ascii="Times New Roman" w:hAnsi="Times New Roman"/>
            <w:noProof/>
            <w:webHidden/>
            <w:sz w:val="28"/>
          </w:rPr>
          <w:t>34</w:t>
        </w:r>
        <w:r w:rsidRPr="00030313">
          <w:rPr>
            <w:rFonts w:ascii="Times New Roman" w:hAnsi="Times New Roman"/>
            <w:noProof/>
            <w:webHidden/>
            <w:sz w:val="28"/>
          </w:rPr>
          <w:fldChar w:fldCharType="end"/>
        </w:r>
      </w:hyperlink>
    </w:p>
    <w:p w:rsidR="00D66333" w:rsidRPr="00030313" w:rsidRDefault="00030313" w:rsidP="00C61937">
      <w:pPr>
        <w:pStyle w:val="TDC2"/>
        <w:tabs>
          <w:tab w:val="left" w:pos="960"/>
          <w:tab w:val="right" w:leader="dot" w:pos="8830"/>
        </w:tabs>
        <w:rPr>
          <w:rFonts w:ascii="Times New Roman" w:hAnsi="Times New Roman"/>
          <w:noProof/>
          <w:kern w:val="2"/>
          <w:sz w:val="28"/>
          <w:szCs w:val="24"/>
          <w:lang w:eastAsia="es-MX"/>
        </w:rPr>
      </w:pPr>
      <w:hyperlink w:anchor="_Toc183628567" w:history="1">
        <w:r w:rsidRPr="00030313">
          <w:rPr>
            <w:rStyle w:val="Hipervnculo"/>
            <w:rFonts w:ascii="Times New Roman" w:hAnsi="Times New Roman"/>
            <w:noProof/>
            <w:sz w:val="28"/>
          </w:rPr>
          <w:t>2.8.</w:t>
        </w:r>
        <w:r w:rsidRPr="00030313">
          <w:rPr>
            <w:rFonts w:ascii="Times New Roman" w:hAnsi="Times New Roman"/>
            <w:noProof/>
            <w:kern w:val="2"/>
            <w:sz w:val="28"/>
            <w:szCs w:val="24"/>
            <w:lang w:eastAsia="es-MX"/>
          </w:rPr>
          <w:tab/>
        </w:r>
        <w:r w:rsidRPr="00030313">
          <w:rPr>
            <w:rStyle w:val="Hipervnculo"/>
            <w:rFonts w:ascii="Times New Roman" w:hAnsi="Times New Roman"/>
            <w:noProof/>
            <w:sz w:val="28"/>
          </w:rPr>
          <w:t>Sobre las decisiones a adoptar</w:t>
        </w:r>
        <w:r w:rsidRPr="00030313">
          <w:rPr>
            <w:rFonts w:ascii="Times New Roman" w:hAnsi="Times New Roman"/>
            <w:noProof/>
            <w:webHidden/>
            <w:sz w:val="28"/>
          </w:rPr>
          <w:tab/>
        </w:r>
        <w:r w:rsidRPr="00030313">
          <w:rPr>
            <w:rFonts w:ascii="Times New Roman" w:hAnsi="Times New Roman"/>
            <w:noProof/>
            <w:webHidden/>
            <w:sz w:val="28"/>
          </w:rPr>
          <w:fldChar w:fldCharType="begin"/>
        </w:r>
        <w:r w:rsidRPr="00030313">
          <w:rPr>
            <w:rFonts w:ascii="Times New Roman" w:hAnsi="Times New Roman"/>
            <w:noProof/>
            <w:webHidden/>
            <w:sz w:val="28"/>
          </w:rPr>
          <w:instrText xml:space="preserve"> PAGEREF _Toc183628567 \h </w:instrText>
        </w:r>
        <w:r w:rsidRPr="00030313">
          <w:rPr>
            <w:rFonts w:ascii="Times New Roman" w:hAnsi="Times New Roman"/>
            <w:noProof/>
            <w:webHidden/>
            <w:sz w:val="28"/>
          </w:rPr>
        </w:r>
        <w:r w:rsidRPr="00030313">
          <w:rPr>
            <w:rFonts w:ascii="Times New Roman" w:hAnsi="Times New Roman"/>
            <w:noProof/>
            <w:webHidden/>
            <w:sz w:val="28"/>
          </w:rPr>
          <w:fldChar w:fldCharType="separate"/>
        </w:r>
        <w:r w:rsidRPr="00030313">
          <w:rPr>
            <w:rFonts w:ascii="Times New Roman" w:hAnsi="Times New Roman"/>
            <w:noProof/>
            <w:webHidden/>
            <w:sz w:val="28"/>
          </w:rPr>
          <w:t>38</w:t>
        </w:r>
        <w:r w:rsidRPr="00030313">
          <w:rPr>
            <w:rFonts w:ascii="Times New Roman" w:hAnsi="Times New Roman"/>
            <w:noProof/>
            <w:webHidden/>
            <w:sz w:val="28"/>
          </w:rPr>
          <w:fldChar w:fldCharType="end"/>
        </w:r>
      </w:hyperlink>
    </w:p>
    <w:p w:rsidR="00D66333" w:rsidRPr="00030313" w:rsidRDefault="00030313" w:rsidP="00C61937">
      <w:pPr>
        <w:pStyle w:val="TDC1"/>
        <w:rPr>
          <w:rFonts w:ascii="Times New Roman" w:hAnsi="Times New Roman"/>
          <w:noProof/>
          <w:kern w:val="2"/>
          <w:sz w:val="28"/>
          <w:szCs w:val="24"/>
          <w:lang w:eastAsia="es-MX"/>
        </w:rPr>
      </w:pPr>
      <w:hyperlink w:anchor="_Toc183628568" w:history="1">
        <w:r w:rsidRPr="00030313">
          <w:rPr>
            <w:rStyle w:val="Hipervnculo"/>
            <w:rFonts w:ascii="Times New Roman" w:hAnsi="Times New Roman"/>
            <w:noProof/>
            <w:sz w:val="28"/>
          </w:rPr>
          <w:t>III.</w:t>
        </w:r>
        <w:r w:rsidRPr="00030313">
          <w:rPr>
            <w:rFonts w:ascii="Times New Roman" w:hAnsi="Times New Roman"/>
            <w:noProof/>
            <w:kern w:val="2"/>
            <w:sz w:val="28"/>
            <w:szCs w:val="24"/>
            <w:lang w:eastAsia="es-MX"/>
          </w:rPr>
          <w:tab/>
        </w:r>
        <w:r w:rsidRPr="00030313">
          <w:rPr>
            <w:rStyle w:val="Hipervnculo"/>
            <w:rFonts w:ascii="Times New Roman" w:hAnsi="Times New Roman"/>
            <w:noProof/>
            <w:sz w:val="28"/>
          </w:rPr>
          <w:t>DECISIÓN</w:t>
        </w:r>
        <w:r w:rsidRPr="00030313">
          <w:rPr>
            <w:rFonts w:ascii="Times New Roman" w:hAnsi="Times New Roman"/>
            <w:noProof/>
            <w:webHidden/>
            <w:sz w:val="28"/>
          </w:rPr>
          <w:tab/>
        </w:r>
        <w:r w:rsidRPr="00030313">
          <w:rPr>
            <w:rFonts w:ascii="Times New Roman" w:hAnsi="Times New Roman"/>
            <w:noProof/>
            <w:webHidden/>
            <w:sz w:val="28"/>
          </w:rPr>
          <w:fldChar w:fldCharType="begin"/>
        </w:r>
        <w:r w:rsidRPr="00030313">
          <w:rPr>
            <w:rFonts w:ascii="Times New Roman" w:hAnsi="Times New Roman"/>
            <w:noProof/>
            <w:webHidden/>
            <w:sz w:val="28"/>
          </w:rPr>
          <w:instrText xml:space="preserve"> PAGEREF _Toc183628568 \h </w:instrText>
        </w:r>
        <w:r w:rsidRPr="00030313">
          <w:rPr>
            <w:rFonts w:ascii="Times New Roman" w:hAnsi="Times New Roman"/>
            <w:noProof/>
            <w:webHidden/>
            <w:sz w:val="28"/>
          </w:rPr>
        </w:r>
        <w:r w:rsidRPr="00030313">
          <w:rPr>
            <w:rFonts w:ascii="Times New Roman" w:hAnsi="Times New Roman"/>
            <w:noProof/>
            <w:webHidden/>
            <w:sz w:val="28"/>
          </w:rPr>
          <w:fldChar w:fldCharType="separate"/>
        </w:r>
        <w:r w:rsidRPr="00030313">
          <w:rPr>
            <w:rFonts w:ascii="Times New Roman" w:hAnsi="Times New Roman"/>
            <w:noProof/>
            <w:webHidden/>
            <w:sz w:val="28"/>
          </w:rPr>
          <w:t>39</w:t>
        </w:r>
        <w:r w:rsidRPr="00030313">
          <w:rPr>
            <w:rFonts w:ascii="Times New Roman" w:hAnsi="Times New Roman"/>
            <w:noProof/>
            <w:webHidden/>
            <w:sz w:val="28"/>
          </w:rPr>
          <w:fldChar w:fldCharType="end"/>
        </w:r>
      </w:hyperlink>
    </w:p>
    <w:p w:rsidR="00F62637" w:rsidRPr="00030313" w:rsidRDefault="00030313" w:rsidP="00C61937">
      <w:pPr>
        <w:rPr>
          <w:rFonts w:ascii="Times New Roman" w:hAnsi="Times New Roman"/>
          <w:sz w:val="28"/>
        </w:rPr>
      </w:pPr>
      <w:r w:rsidRPr="00030313">
        <w:rPr>
          <w:rFonts w:ascii="Times New Roman" w:hAnsi="Times New Roman"/>
          <w:b/>
          <w:bCs/>
          <w:sz w:val="28"/>
          <w:lang w:val="es-ES"/>
        </w:rPr>
        <w:fldChar w:fldCharType="end"/>
      </w:r>
    </w:p>
    <w:p w:rsidR="00A24F5C" w:rsidRPr="00030313" w:rsidRDefault="00030313" w:rsidP="00C61937">
      <w:pPr>
        <w:jc w:val="both"/>
        <w:rPr>
          <w:rFonts w:ascii="Times New Roman" w:hAnsi="Times New Roman"/>
          <w:sz w:val="28"/>
        </w:rPr>
      </w:pPr>
    </w:p>
    <w:p w:rsidR="00760F31" w:rsidRPr="00030313" w:rsidRDefault="00030313" w:rsidP="00C61937">
      <w:pPr>
        <w:jc w:val="both"/>
        <w:rPr>
          <w:rFonts w:ascii="Times New Roman" w:hAnsi="Times New Roman"/>
          <w:sz w:val="28"/>
        </w:rPr>
      </w:pPr>
    </w:p>
    <w:p w:rsidR="00C36B4C" w:rsidRPr="00030313" w:rsidRDefault="00030313" w:rsidP="00C61937">
      <w:pPr>
        <w:pStyle w:val="Ttulo1"/>
        <w:numPr>
          <w:ilvl w:val="0"/>
          <w:numId w:val="5"/>
        </w:numPr>
        <w:ind w:left="284" w:hanging="284"/>
        <w:rPr>
          <w:rFonts w:ascii="Times New Roman" w:hAnsi="Times New Roman"/>
          <w:sz w:val="28"/>
        </w:rPr>
      </w:pPr>
      <w:bookmarkStart w:id="3" w:name="_Toc183628553"/>
      <w:r w:rsidRPr="00030313">
        <w:rPr>
          <w:rFonts w:ascii="Times New Roman" w:hAnsi="Times New Roman"/>
          <w:sz w:val="28"/>
        </w:rPr>
        <w:t>ANTECEDENTES</w:t>
      </w:r>
      <w:bookmarkEnd w:id="3"/>
      <w:r w:rsidRPr="00030313">
        <w:rPr>
          <w:rFonts w:ascii="Times New Roman" w:hAnsi="Times New Roman"/>
          <w:sz w:val="28"/>
        </w:rPr>
        <w:t xml:space="preserve"> </w:t>
      </w:r>
    </w:p>
    <w:p w:rsidR="00C36B4C" w:rsidRPr="00030313" w:rsidRDefault="00030313" w:rsidP="00C61937">
      <w:pPr>
        <w:ind w:left="360" w:right="-18"/>
        <w:jc w:val="both"/>
        <w:rPr>
          <w:rFonts w:ascii="Times New Roman" w:hAnsi="Times New Roman"/>
          <w:b/>
          <w:i/>
          <w:iCs/>
          <w:sz w:val="28"/>
        </w:rPr>
      </w:pPr>
    </w:p>
    <w:p w:rsidR="00C36B4C" w:rsidRPr="00030313" w:rsidRDefault="00030313" w:rsidP="00C61937">
      <w:pPr>
        <w:pStyle w:val="Ttulo2"/>
        <w:numPr>
          <w:ilvl w:val="1"/>
          <w:numId w:val="5"/>
        </w:numPr>
        <w:rPr>
          <w:rFonts w:ascii="Times New Roman" w:hAnsi="Times New Roman"/>
          <w:sz w:val="28"/>
        </w:rPr>
      </w:pPr>
      <w:bookmarkStart w:id="4" w:name="_Toc183628554"/>
      <w:r w:rsidRPr="00030313">
        <w:rPr>
          <w:rFonts w:ascii="Times New Roman" w:hAnsi="Times New Roman"/>
          <w:sz w:val="28"/>
        </w:rPr>
        <w:t>Hechos probados</w:t>
      </w:r>
      <w:bookmarkEnd w:id="4"/>
      <w:r w:rsidRPr="00030313">
        <w:rPr>
          <w:rFonts w:ascii="Times New Roman" w:hAnsi="Times New Roman"/>
          <w:sz w:val="28"/>
        </w:rPr>
        <w:t xml:space="preserve"> </w:t>
      </w:r>
    </w:p>
    <w:p w:rsidR="00C36B4C" w:rsidRPr="00030313" w:rsidRDefault="00030313" w:rsidP="00C61937">
      <w:pPr>
        <w:tabs>
          <w:tab w:val="left" w:pos="810"/>
        </w:tabs>
        <w:rPr>
          <w:rFonts w:ascii="Times New Roman" w:hAnsi="Times New Roman"/>
          <w:sz w:val="28"/>
        </w:rPr>
      </w:pPr>
    </w:p>
    <w:p w:rsidR="006B4C31" w:rsidRPr="00030313" w:rsidRDefault="00030313" w:rsidP="00C61937">
      <w:pPr>
        <w:pStyle w:val="Lista"/>
        <w:numPr>
          <w:ilvl w:val="0"/>
          <w:numId w:val="6"/>
        </w:numPr>
        <w:tabs>
          <w:tab w:val="left" w:pos="0"/>
        </w:tabs>
        <w:spacing w:after="0" w:line="240" w:lineRule="auto"/>
        <w:ind w:left="0" w:firstLine="0"/>
        <w:jc w:val="both"/>
        <w:rPr>
          <w:rFonts w:ascii="Times New Roman" w:hAnsi="Times New Roman"/>
          <w:sz w:val="28"/>
          <w:szCs w:val="28"/>
          <w:lang w:val="es-ES"/>
        </w:rPr>
      </w:pPr>
      <w:r w:rsidRPr="00030313">
        <w:rPr>
          <w:rFonts w:ascii="Times New Roman" w:hAnsi="Times New Roman"/>
          <w:sz w:val="28"/>
          <w:szCs w:val="28"/>
          <w:lang w:val="es-ES"/>
        </w:rPr>
        <w:t>E</w:t>
      </w:r>
      <w:r w:rsidRPr="00030313">
        <w:rPr>
          <w:rFonts w:ascii="Times New Roman" w:hAnsi="Times New Roman"/>
          <w:sz w:val="28"/>
          <w:szCs w:val="28"/>
          <w:lang w:val="es-ES"/>
        </w:rPr>
        <w:t xml:space="preserve">n enero de 2023, </w:t>
      </w:r>
      <w:r w:rsidRPr="00030313">
        <w:rPr>
          <w:rFonts w:ascii="Times New Roman" w:hAnsi="Times New Roman"/>
          <w:i/>
          <w:iCs/>
          <w:sz w:val="28"/>
          <w:szCs w:val="28"/>
          <w:lang w:val="es-ES"/>
        </w:rPr>
        <w:t>Sergio</w:t>
      </w:r>
      <w:r w:rsidRPr="00030313">
        <w:rPr>
          <w:rFonts w:ascii="Times New Roman" w:hAnsi="Times New Roman"/>
          <w:sz w:val="28"/>
          <w:szCs w:val="28"/>
          <w:lang w:val="es-ES"/>
        </w:rPr>
        <w:t xml:space="preserve"> inició el trámite de cambio de sexo en su registro civil de Masculino a No Binario. </w:t>
      </w:r>
      <w:r w:rsidRPr="00030313">
        <w:rPr>
          <w:rFonts w:ascii="Times New Roman" w:hAnsi="Times New Roman"/>
          <w:sz w:val="28"/>
          <w:szCs w:val="28"/>
          <w:lang w:val="es-ES"/>
        </w:rPr>
        <w:t xml:space="preserve">Ese mismo mes, </w:t>
      </w:r>
      <w:r w:rsidRPr="00030313">
        <w:rPr>
          <w:rFonts w:ascii="Times New Roman" w:hAnsi="Times New Roman"/>
          <w:sz w:val="28"/>
          <w:szCs w:val="28"/>
          <w:lang w:val="es-ES"/>
        </w:rPr>
        <w:t xml:space="preserve">la Registraduría Nacional del Estado Civil le emitió un nuevo registro civil de nacimiento, y en febrero </w:t>
      </w:r>
      <w:r w:rsidRPr="00030313">
        <w:rPr>
          <w:rFonts w:ascii="Times New Roman" w:hAnsi="Times New Roman"/>
          <w:sz w:val="28"/>
          <w:szCs w:val="28"/>
          <w:lang w:val="es-ES"/>
        </w:rPr>
        <w:t>le otorgó la cédula de ciuda</w:t>
      </w:r>
      <w:r w:rsidRPr="00030313">
        <w:rPr>
          <w:rFonts w:ascii="Times New Roman" w:hAnsi="Times New Roman"/>
          <w:sz w:val="28"/>
          <w:szCs w:val="28"/>
          <w:lang w:val="es-ES"/>
        </w:rPr>
        <w:t xml:space="preserve">danía amarilla nueva de holograma. </w:t>
      </w:r>
    </w:p>
    <w:p w:rsidR="00802983" w:rsidRPr="00030313" w:rsidRDefault="00030313" w:rsidP="00C61937">
      <w:pPr>
        <w:pStyle w:val="Lista"/>
        <w:tabs>
          <w:tab w:val="left" w:pos="0"/>
        </w:tabs>
        <w:spacing w:after="0" w:line="240" w:lineRule="auto"/>
        <w:ind w:left="0" w:firstLine="0"/>
        <w:jc w:val="both"/>
        <w:rPr>
          <w:rFonts w:ascii="Times New Roman" w:hAnsi="Times New Roman"/>
          <w:sz w:val="28"/>
          <w:szCs w:val="28"/>
          <w:lang w:val="es-ES"/>
        </w:rPr>
      </w:pPr>
    </w:p>
    <w:p w:rsidR="008B1ACC" w:rsidRPr="00030313" w:rsidRDefault="00030313" w:rsidP="00C61937">
      <w:pPr>
        <w:pStyle w:val="Lista"/>
        <w:numPr>
          <w:ilvl w:val="0"/>
          <w:numId w:val="6"/>
        </w:numPr>
        <w:tabs>
          <w:tab w:val="left" w:pos="0"/>
        </w:tabs>
        <w:spacing w:after="0" w:line="240" w:lineRule="auto"/>
        <w:ind w:left="0" w:firstLine="0"/>
        <w:jc w:val="both"/>
        <w:rPr>
          <w:rFonts w:ascii="Times New Roman" w:hAnsi="Times New Roman"/>
          <w:sz w:val="28"/>
          <w:szCs w:val="28"/>
          <w:lang w:val="es-ES"/>
        </w:rPr>
      </w:pPr>
      <w:r w:rsidRPr="00030313">
        <w:rPr>
          <w:rFonts w:ascii="Times New Roman" w:hAnsi="Times New Roman"/>
          <w:sz w:val="28"/>
          <w:szCs w:val="28"/>
          <w:lang w:val="es-ES"/>
        </w:rPr>
        <w:t xml:space="preserve">El 22 de febrero de 2024, </w:t>
      </w:r>
      <w:r w:rsidRPr="00030313">
        <w:rPr>
          <w:rFonts w:ascii="Times New Roman" w:hAnsi="Times New Roman"/>
          <w:i/>
          <w:iCs/>
          <w:sz w:val="28"/>
          <w:szCs w:val="28"/>
          <w:lang w:val="es-ES"/>
        </w:rPr>
        <w:t>Sergio</w:t>
      </w:r>
      <w:r w:rsidRPr="00030313">
        <w:rPr>
          <w:rFonts w:ascii="Times New Roman" w:hAnsi="Times New Roman"/>
          <w:sz w:val="28"/>
          <w:szCs w:val="28"/>
          <w:lang w:val="es-ES"/>
        </w:rPr>
        <w:t xml:space="preserve"> </w:t>
      </w:r>
      <w:r w:rsidRPr="00030313">
        <w:rPr>
          <w:rFonts w:ascii="Times New Roman" w:hAnsi="Times New Roman"/>
          <w:sz w:val="28"/>
          <w:szCs w:val="28"/>
          <w:lang w:val="es-ES"/>
        </w:rPr>
        <w:t xml:space="preserve">realizó el trámite de pago </w:t>
      </w:r>
      <w:r w:rsidRPr="00030313">
        <w:rPr>
          <w:rFonts w:ascii="Times New Roman" w:hAnsi="Times New Roman"/>
          <w:sz w:val="28"/>
          <w:szCs w:val="28"/>
        </w:rPr>
        <w:t>para obtener la expedición de la cédula de ciudadanía digital. Sin embargo, según afirm</w:t>
      </w:r>
      <w:r w:rsidRPr="00030313">
        <w:rPr>
          <w:rFonts w:ascii="Times New Roman" w:hAnsi="Times New Roman"/>
          <w:sz w:val="28"/>
          <w:szCs w:val="28"/>
        </w:rPr>
        <w:t>ó</w:t>
      </w:r>
      <w:r w:rsidRPr="00030313">
        <w:rPr>
          <w:rFonts w:ascii="Times New Roman" w:hAnsi="Times New Roman"/>
          <w:sz w:val="28"/>
          <w:szCs w:val="28"/>
        </w:rPr>
        <w:t xml:space="preserve"> en la demanda de tutela, </w:t>
      </w:r>
      <w:r w:rsidRPr="00030313">
        <w:rPr>
          <w:rFonts w:ascii="Times New Roman" w:hAnsi="Times New Roman"/>
          <w:sz w:val="28"/>
          <w:szCs w:val="28"/>
        </w:rPr>
        <w:t>los</w:t>
      </w:r>
      <w:r w:rsidRPr="00030313">
        <w:rPr>
          <w:rFonts w:ascii="Times New Roman" w:hAnsi="Times New Roman"/>
          <w:sz w:val="28"/>
          <w:szCs w:val="28"/>
        </w:rPr>
        <w:t xml:space="preserve"> funcionarios de la Registraduría en la cual realizó el trámite respectivo, le indicaron que no podían expedir su cédula de ciudadanía en su versión digital</w:t>
      </w:r>
      <w:r w:rsidRPr="00030313">
        <w:rPr>
          <w:rFonts w:ascii="Times New Roman" w:hAnsi="Times New Roman"/>
          <w:sz w:val="28"/>
          <w:szCs w:val="28"/>
        </w:rPr>
        <w:t xml:space="preserve"> con el marcador de sexo No Binario</w:t>
      </w:r>
      <w:r w:rsidRPr="00030313">
        <w:rPr>
          <w:rFonts w:ascii="Times New Roman" w:hAnsi="Times New Roman"/>
          <w:sz w:val="28"/>
          <w:szCs w:val="28"/>
        </w:rPr>
        <w:t xml:space="preserve">. </w:t>
      </w:r>
    </w:p>
    <w:p w:rsidR="008B1ACC" w:rsidRPr="00030313" w:rsidRDefault="00030313" w:rsidP="00C61937">
      <w:pPr>
        <w:pStyle w:val="Lista"/>
        <w:tabs>
          <w:tab w:val="left" w:pos="0"/>
        </w:tabs>
        <w:spacing w:after="0" w:line="240" w:lineRule="auto"/>
        <w:ind w:left="0" w:firstLine="0"/>
        <w:jc w:val="both"/>
        <w:rPr>
          <w:rFonts w:ascii="Times New Roman" w:hAnsi="Times New Roman"/>
          <w:sz w:val="28"/>
          <w:szCs w:val="28"/>
          <w:lang w:val="es-ES"/>
        </w:rPr>
      </w:pPr>
    </w:p>
    <w:p w:rsidR="00357F8B" w:rsidRPr="00030313" w:rsidRDefault="00030313" w:rsidP="00C61937">
      <w:pPr>
        <w:pStyle w:val="Lista"/>
        <w:numPr>
          <w:ilvl w:val="0"/>
          <w:numId w:val="6"/>
        </w:numPr>
        <w:tabs>
          <w:tab w:val="left" w:pos="0"/>
        </w:tabs>
        <w:spacing w:after="0" w:line="240" w:lineRule="auto"/>
        <w:ind w:left="0" w:firstLine="0"/>
        <w:jc w:val="both"/>
        <w:rPr>
          <w:rFonts w:ascii="Times New Roman" w:hAnsi="Times New Roman"/>
          <w:sz w:val="28"/>
          <w:szCs w:val="28"/>
          <w:lang w:val="es-ES"/>
        </w:rPr>
      </w:pPr>
      <w:r w:rsidRPr="00030313">
        <w:rPr>
          <w:rFonts w:ascii="Times New Roman" w:hAnsi="Times New Roman"/>
          <w:sz w:val="28"/>
          <w:lang w:val="es-ES"/>
        </w:rPr>
        <w:t>La persona</w:t>
      </w:r>
      <w:r w:rsidRPr="00030313">
        <w:rPr>
          <w:rFonts w:ascii="Times New Roman" w:hAnsi="Times New Roman"/>
          <w:sz w:val="28"/>
          <w:lang w:val="es-ES"/>
        </w:rPr>
        <w:t xml:space="preserve"> accionante </w:t>
      </w:r>
      <w:r w:rsidRPr="00030313">
        <w:rPr>
          <w:rFonts w:ascii="Times New Roman" w:hAnsi="Times New Roman"/>
          <w:sz w:val="28"/>
        </w:rPr>
        <w:t>también indicó que se emitió a su favor</w:t>
      </w:r>
      <w:r w:rsidRPr="00030313">
        <w:rPr>
          <w:rFonts w:ascii="Times New Roman" w:hAnsi="Times New Roman"/>
          <w:sz w:val="28"/>
        </w:rPr>
        <w:t xml:space="preserve"> un pasaporte con el componente sexo marcado con una “X”, con lo cual se siguió con la convención internacional para la asignación del componente sexo diferente a Masculino o Femenino.</w:t>
      </w:r>
      <w:r w:rsidRPr="00030313">
        <w:rPr>
          <w:rFonts w:ascii="Times New Roman" w:hAnsi="Times New Roman"/>
          <w:sz w:val="28"/>
        </w:rPr>
        <w:t xml:space="preserve"> Sin embargo, a la fecha, no se le ha expedido la cédula de ciudadanía e</w:t>
      </w:r>
      <w:r w:rsidRPr="00030313">
        <w:rPr>
          <w:rFonts w:ascii="Times New Roman" w:hAnsi="Times New Roman"/>
          <w:sz w:val="28"/>
        </w:rPr>
        <w:t>n su versión digital, a pesar de haber tramitado su pago</w:t>
      </w:r>
      <w:r w:rsidRPr="00030313">
        <w:rPr>
          <w:rFonts w:ascii="Times New Roman" w:hAnsi="Times New Roman"/>
          <w:sz w:val="28"/>
        </w:rPr>
        <w:t xml:space="preserve"> y proceso administrativo ante la Registraduría Nacional del Estado Civil. </w:t>
      </w:r>
    </w:p>
    <w:p w:rsidR="001924AD" w:rsidRPr="00030313" w:rsidRDefault="00030313" w:rsidP="00C61937">
      <w:pPr>
        <w:pStyle w:val="Lista"/>
        <w:tabs>
          <w:tab w:val="left" w:pos="0"/>
        </w:tabs>
        <w:spacing w:after="0" w:line="240" w:lineRule="auto"/>
        <w:ind w:left="0" w:firstLine="0"/>
        <w:jc w:val="both"/>
        <w:rPr>
          <w:rFonts w:ascii="Times New Roman" w:hAnsi="Times New Roman"/>
          <w:sz w:val="28"/>
          <w:szCs w:val="28"/>
          <w:lang w:val="es-ES"/>
        </w:rPr>
      </w:pPr>
    </w:p>
    <w:p w:rsidR="00C36B4C" w:rsidRPr="00030313" w:rsidRDefault="00030313" w:rsidP="00C61937">
      <w:pPr>
        <w:adjustRightInd w:val="0"/>
        <w:jc w:val="both"/>
        <w:rPr>
          <w:rFonts w:ascii="Times New Roman" w:hAnsi="Times New Roman"/>
          <w:sz w:val="28"/>
          <w:lang w:val="es-ES"/>
        </w:rPr>
      </w:pPr>
    </w:p>
    <w:p w:rsidR="00C36B4C" w:rsidRPr="00030313" w:rsidRDefault="00030313" w:rsidP="00C61937">
      <w:pPr>
        <w:pStyle w:val="Ttulo2"/>
        <w:numPr>
          <w:ilvl w:val="1"/>
          <w:numId w:val="5"/>
        </w:numPr>
        <w:rPr>
          <w:rFonts w:ascii="Times New Roman" w:hAnsi="Times New Roman"/>
          <w:sz w:val="28"/>
        </w:rPr>
      </w:pPr>
      <w:bookmarkStart w:id="5" w:name="_Toc183628555"/>
      <w:r w:rsidRPr="00030313">
        <w:rPr>
          <w:rFonts w:ascii="Times New Roman" w:hAnsi="Times New Roman"/>
          <w:sz w:val="28"/>
        </w:rPr>
        <w:t>La acción de tutela</w:t>
      </w:r>
      <w:bookmarkEnd w:id="5"/>
      <w:r w:rsidRPr="00030313">
        <w:rPr>
          <w:rFonts w:ascii="Times New Roman" w:hAnsi="Times New Roman"/>
          <w:sz w:val="28"/>
        </w:rPr>
        <w:t xml:space="preserve"> </w:t>
      </w:r>
    </w:p>
    <w:p w:rsidR="00C36B4C" w:rsidRPr="00030313" w:rsidRDefault="00030313" w:rsidP="00C61937">
      <w:pPr>
        <w:pStyle w:val="Prrafodelista"/>
        <w:rPr>
          <w:rFonts w:ascii="Times New Roman" w:hAnsi="Times New Roman"/>
          <w:sz w:val="28"/>
        </w:rPr>
      </w:pPr>
    </w:p>
    <w:p w:rsidR="00E033CC" w:rsidRPr="00030313" w:rsidRDefault="00030313" w:rsidP="00C61937">
      <w:pPr>
        <w:pStyle w:val="Lista"/>
        <w:numPr>
          <w:ilvl w:val="0"/>
          <w:numId w:val="6"/>
        </w:numPr>
        <w:tabs>
          <w:tab w:val="left" w:pos="0"/>
        </w:tabs>
        <w:spacing w:after="0" w:line="240" w:lineRule="auto"/>
        <w:ind w:left="0" w:firstLine="0"/>
        <w:jc w:val="both"/>
        <w:rPr>
          <w:rFonts w:ascii="Times New Roman" w:hAnsi="Times New Roman"/>
          <w:sz w:val="28"/>
          <w:szCs w:val="28"/>
          <w:lang w:val="es-ES"/>
        </w:rPr>
      </w:pPr>
      <w:r w:rsidRPr="00030313">
        <w:rPr>
          <w:rFonts w:ascii="Times New Roman" w:hAnsi="Times New Roman"/>
          <w:sz w:val="28"/>
          <w:szCs w:val="28"/>
          <w:lang w:val="es-ES"/>
        </w:rPr>
        <w:t xml:space="preserve">El 26 de febrero de 2024, </w:t>
      </w:r>
      <w:r w:rsidRPr="00030313">
        <w:rPr>
          <w:rFonts w:ascii="Times New Roman" w:hAnsi="Times New Roman"/>
          <w:i/>
          <w:iCs/>
          <w:sz w:val="28"/>
          <w:szCs w:val="28"/>
          <w:lang w:val="es-ES"/>
        </w:rPr>
        <w:t>Sergio</w:t>
      </w:r>
      <w:r w:rsidRPr="00030313">
        <w:rPr>
          <w:rFonts w:ascii="Times New Roman" w:hAnsi="Times New Roman"/>
          <w:sz w:val="28"/>
          <w:szCs w:val="28"/>
          <w:lang w:val="es-ES"/>
        </w:rPr>
        <w:t xml:space="preserve"> presentó una acción de tutela contra la Registraduría Nacional del </w:t>
      </w:r>
      <w:r w:rsidRPr="00030313">
        <w:rPr>
          <w:rFonts w:ascii="Times New Roman" w:hAnsi="Times New Roman"/>
          <w:sz w:val="28"/>
          <w:szCs w:val="28"/>
          <w:lang w:val="es-ES"/>
        </w:rPr>
        <w:t xml:space="preserve">Estado Civil con el fin de </w:t>
      </w:r>
      <w:r w:rsidRPr="00030313">
        <w:rPr>
          <w:rFonts w:ascii="Times New Roman" w:hAnsi="Times New Roman"/>
          <w:sz w:val="28"/>
          <w:szCs w:val="28"/>
          <w:lang w:val="es-ES"/>
        </w:rPr>
        <w:t>que se prote</w:t>
      </w:r>
      <w:r w:rsidRPr="00030313">
        <w:rPr>
          <w:rFonts w:ascii="Times New Roman" w:hAnsi="Times New Roman"/>
          <w:sz w:val="28"/>
          <w:szCs w:val="28"/>
          <w:lang w:val="es-ES"/>
        </w:rPr>
        <w:t>jan sus</w:t>
      </w:r>
      <w:r w:rsidRPr="00030313">
        <w:rPr>
          <w:rFonts w:ascii="Times New Roman" w:hAnsi="Times New Roman"/>
          <w:sz w:val="28"/>
          <w:szCs w:val="28"/>
          <w:lang w:val="es-ES"/>
        </w:rPr>
        <w:t xml:space="preserve"> derecho</w:t>
      </w:r>
      <w:r w:rsidRPr="00030313">
        <w:rPr>
          <w:rFonts w:ascii="Times New Roman" w:hAnsi="Times New Roman"/>
          <w:sz w:val="28"/>
          <w:szCs w:val="28"/>
          <w:lang w:val="es-ES"/>
        </w:rPr>
        <w:t>s</w:t>
      </w:r>
      <w:r w:rsidRPr="00030313">
        <w:rPr>
          <w:rFonts w:ascii="Times New Roman" w:hAnsi="Times New Roman"/>
          <w:sz w:val="28"/>
          <w:szCs w:val="28"/>
          <w:lang w:val="es-ES"/>
        </w:rPr>
        <w:t xml:space="preserve"> a la igualdad</w:t>
      </w:r>
      <w:r w:rsidRPr="00030313">
        <w:rPr>
          <w:rFonts w:ascii="Times New Roman" w:hAnsi="Times New Roman"/>
          <w:sz w:val="28"/>
          <w:szCs w:val="28"/>
          <w:lang w:val="es-ES"/>
        </w:rPr>
        <w:t>,</w:t>
      </w:r>
      <w:r w:rsidRPr="00030313">
        <w:rPr>
          <w:rFonts w:ascii="Times New Roman" w:hAnsi="Times New Roman"/>
          <w:sz w:val="28"/>
          <w:szCs w:val="28"/>
          <w:lang w:val="es-ES"/>
        </w:rPr>
        <w:t xml:space="preserve"> al libre desarrollo de la personalidad</w:t>
      </w:r>
      <w:r w:rsidRPr="00030313">
        <w:rPr>
          <w:rFonts w:ascii="Times New Roman" w:hAnsi="Times New Roman"/>
          <w:sz w:val="28"/>
          <w:szCs w:val="28"/>
          <w:lang w:val="es-ES"/>
        </w:rPr>
        <w:t xml:space="preserve"> y a la</w:t>
      </w:r>
      <w:r w:rsidRPr="00030313">
        <w:rPr>
          <w:rFonts w:ascii="Times New Roman" w:hAnsi="Times New Roman"/>
          <w:sz w:val="28"/>
          <w:szCs w:val="28"/>
          <w:lang w:val="es-ES"/>
        </w:rPr>
        <w:t xml:space="preserve"> libre</w:t>
      </w:r>
      <w:r w:rsidRPr="00030313">
        <w:rPr>
          <w:rFonts w:ascii="Times New Roman" w:hAnsi="Times New Roman"/>
          <w:sz w:val="28"/>
          <w:szCs w:val="28"/>
          <w:lang w:val="es-ES"/>
        </w:rPr>
        <w:t xml:space="preserve"> circulación</w:t>
      </w:r>
      <w:r w:rsidRPr="00030313">
        <w:rPr>
          <w:rFonts w:ascii="Times New Roman" w:hAnsi="Times New Roman"/>
          <w:sz w:val="28"/>
          <w:szCs w:val="28"/>
          <w:lang w:val="es-ES"/>
        </w:rPr>
        <w:t>, debido a que la Registraduría Nacional del Estado Civil no le expidió la cédula de ciudadanía en su formato vir</w:t>
      </w:r>
      <w:r w:rsidRPr="00030313">
        <w:rPr>
          <w:rFonts w:ascii="Times New Roman" w:hAnsi="Times New Roman"/>
          <w:sz w:val="28"/>
          <w:szCs w:val="28"/>
          <w:lang w:val="es-ES"/>
        </w:rPr>
        <w:t xml:space="preserve">tual. </w:t>
      </w:r>
      <w:r w:rsidRPr="00030313">
        <w:rPr>
          <w:rFonts w:ascii="Times New Roman" w:hAnsi="Times New Roman"/>
          <w:sz w:val="28"/>
          <w:szCs w:val="28"/>
          <w:lang w:val="es-ES"/>
        </w:rPr>
        <w:t xml:space="preserve">En concreto, </w:t>
      </w:r>
      <w:r w:rsidRPr="00030313">
        <w:rPr>
          <w:rFonts w:ascii="Times New Roman" w:hAnsi="Times New Roman"/>
          <w:sz w:val="28"/>
          <w:szCs w:val="28"/>
          <w:lang w:val="es-ES"/>
        </w:rPr>
        <w:t>solicitó</w:t>
      </w:r>
      <w:r w:rsidRPr="00030313">
        <w:rPr>
          <w:rStyle w:val="Refdenotaalpie"/>
          <w:rFonts w:ascii="Times New Roman" w:hAnsi="Times New Roman"/>
          <w:sz w:val="28"/>
          <w:szCs w:val="28"/>
          <w:lang w:val="es-ES"/>
        </w:rPr>
        <w:footnoteReference w:id="3"/>
      </w:r>
      <w:r w:rsidRPr="00030313">
        <w:rPr>
          <w:rFonts w:ascii="Times New Roman" w:hAnsi="Times New Roman"/>
          <w:sz w:val="28"/>
          <w:szCs w:val="28"/>
          <w:lang w:val="es-ES"/>
        </w:rPr>
        <w:t>:</w:t>
      </w:r>
    </w:p>
    <w:p w:rsidR="0024590D" w:rsidRPr="00030313" w:rsidRDefault="00030313" w:rsidP="00C61937">
      <w:pPr>
        <w:pStyle w:val="Lista"/>
        <w:tabs>
          <w:tab w:val="left" w:pos="0"/>
        </w:tabs>
        <w:spacing w:after="0" w:line="240" w:lineRule="auto"/>
        <w:ind w:left="0" w:firstLine="0"/>
        <w:jc w:val="both"/>
        <w:rPr>
          <w:rFonts w:ascii="Times New Roman" w:hAnsi="Times New Roman"/>
          <w:sz w:val="28"/>
          <w:szCs w:val="28"/>
          <w:lang w:val="es-ES"/>
        </w:rPr>
      </w:pPr>
    </w:p>
    <w:p w:rsidR="0024590D" w:rsidRPr="00030313" w:rsidRDefault="00030313" w:rsidP="00C61937">
      <w:pPr>
        <w:pStyle w:val="Lista"/>
        <w:tabs>
          <w:tab w:val="left" w:pos="284"/>
        </w:tabs>
        <w:spacing w:after="0" w:line="240" w:lineRule="auto"/>
        <w:ind w:left="284" w:right="192" w:firstLine="0"/>
        <w:jc w:val="both"/>
        <w:rPr>
          <w:rFonts w:ascii="Times New Roman" w:hAnsi="Times New Roman"/>
          <w:i/>
          <w:iCs/>
          <w:sz w:val="28"/>
          <w:szCs w:val="28"/>
          <w:lang w:val="es-ES"/>
        </w:rPr>
      </w:pPr>
      <w:r w:rsidRPr="00030313">
        <w:rPr>
          <w:rFonts w:ascii="Times New Roman" w:hAnsi="Times New Roman"/>
          <w:i/>
          <w:iCs/>
          <w:sz w:val="28"/>
          <w:szCs w:val="28"/>
          <w:lang w:val="es-ES"/>
        </w:rPr>
        <w:t xml:space="preserve">1. Se proteja </w:t>
      </w:r>
      <w:r w:rsidRPr="00030313">
        <w:rPr>
          <w:rFonts w:ascii="Times New Roman" w:hAnsi="Times New Roman"/>
          <w:sz w:val="28"/>
          <w:szCs w:val="28"/>
          <w:lang w:val="es-ES"/>
        </w:rPr>
        <w:t>(sic)</w:t>
      </w:r>
      <w:r w:rsidRPr="00030313">
        <w:rPr>
          <w:rFonts w:ascii="Times New Roman" w:hAnsi="Times New Roman"/>
          <w:i/>
          <w:iCs/>
          <w:sz w:val="28"/>
          <w:szCs w:val="28"/>
          <w:lang w:val="es-ES"/>
        </w:rPr>
        <w:t xml:space="preserve"> mis derechos fundamentales consagrados en la Constitución Política.</w:t>
      </w:r>
    </w:p>
    <w:p w:rsidR="002F65F7" w:rsidRPr="00030313" w:rsidRDefault="00030313" w:rsidP="00C61937">
      <w:pPr>
        <w:pStyle w:val="Lista"/>
        <w:tabs>
          <w:tab w:val="left" w:pos="284"/>
        </w:tabs>
        <w:spacing w:after="0" w:line="240" w:lineRule="auto"/>
        <w:ind w:right="192"/>
        <w:jc w:val="both"/>
        <w:rPr>
          <w:rFonts w:ascii="Times New Roman" w:hAnsi="Times New Roman"/>
          <w:i/>
          <w:iCs/>
          <w:sz w:val="28"/>
          <w:szCs w:val="28"/>
          <w:lang w:val="es-ES"/>
        </w:rPr>
      </w:pPr>
    </w:p>
    <w:p w:rsidR="002F65F7" w:rsidRPr="00030313" w:rsidRDefault="00030313" w:rsidP="00C61937">
      <w:pPr>
        <w:pStyle w:val="Lista"/>
        <w:tabs>
          <w:tab w:val="left" w:pos="284"/>
        </w:tabs>
        <w:spacing w:after="0" w:line="240" w:lineRule="auto"/>
        <w:ind w:left="284" w:right="192" w:firstLine="0"/>
        <w:jc w:val="both"/>
        <w:rPr>
          <w:rFonts w:ascii="Times New Roman" w:hAnsi="Times New Roman"/>
          <w:i/>
          <w:iCs/>
          <w:sz w:val="28"/>
          <w:szCs w:val="28"/>
          <w:lang w:val="es-ES"/>
        </w:rPr>
      </w:pPr>
      <w:r w:rsidRPr="00030313">
        <w:rPr>
          <w:rFonts w:ascii="Times New Roman" w:hAnsi="Times New Roman"/>
          <w:i/>
          <w:iCs/>
          <w:sz w:val="28"/>
          <w:szCs w:val="28"/>
          <w:lang w:val="es-ES"/>
        </w:rPr>
        <w:t xml:space="preserve">2. Que, en tal virtud, </w:t>
      </w:r>
      <w:r w:rsidRPr="00030313">
        <w:rPr>
          <w:rFonts w:ascii="Times New Roman" w:hAnsi="Times New Roman"/>
          <w:i/>
          <w:iCs/>
          <w:sz w:val="28"/>
          <w:szCs w:val="28"/>
          <w:lang w:val="es-ES"/>
        </w:rPr>
        <w:t xml:space="preserve">se ordene a la emisión de una cedula </w:t>
      </w:r>
      <w:r w:rsidRPr="00030313">
        <w:rPr>
          <w:rFonts w:ascii="Times New Roman" w:hAnsi="Times New Roman"/>
          <w:sz w:val="28"/>
          <w:szCs w:val="28"/>
          <w:lang w:val="es-ES"/>
        </w:rPr>
        <w:t xml:space="preserve">(sic) </w:t>
      </w:r>
      <w:r w:rsidRPr="00030313">
        <w:rPr>
          <w:rFonts w:ascii="Times New Roman" w:hAnsi="Times New Roman"/>
          <w:i/>
          <w:iCs/>
          <w:sz w:val="28"/>
          <w:szCs w:val="28"/>
          <w:lang w:val="es-ES"/>
        </w:rPr>
        <w:t xml:space="preserve">digital que sea coherente con mi registro civil de nacimiento. </w:t>
      </w:r>
    </w:p>
    <w:p w:rsidR="00C36B4C" w:rsidRPr="00030313" w:rsidRDefault="00030313" w:rsidP="00C61937">
      <w:pPr>
        <w:pStyle w:val="Lista"/>
        <w:tabs>
          <w:tab w:val="left" w:pos="0"/>
        </w:tabs>
        <w:spacing w:after="0" w:line="240" w:lineRule="auto"/>
        <w:ind w:left="0" w:firstLine="0"/>
        <w:jc w:val="both"/>
        <w:rPr>
          <w:rFonts w:ascii="Times New Roman" w:hAnsi="Times New Roman"/>
          <w:sz w:val="28"/>
          <w:szCs w:val="28"/>
          <w:lang w:val="es-ES"/>
        </w:rPr>
      </w:pPr>
    </w:p>
    <w:p w:rsidR="00C36B4C" w:rsidRPr="00030313" w:rsidRDefault="00030313" w:rsidP="00C61937">
      <w:pPr>
        <w:pStyle w:val="Lista"/>
        <w:numPr>
          <w:ilvl w:val="0"/>
          <w:numId w:val="6"/>
        </w:numPr>
        <w:tabs>
          <w:tab w:val="left" w:pos="0"/>
        </w:tabs>
        <w:spacing w:after="0" w:line="240" w:lineRule="auto"/>
        <w:ind w:left="0" w:firstLine="0"/>
        <w:jc w:val="both"/>
        <w:rPr>
          <w:rFonts w:ascii="Times New Roman" w:hAnsi="Times New Roman"/>
          <w:sz w:val="28"/>
          <w:szCs w:val="28"/>
          <w:lang w:val="es-ES"/>
        </w:rPr>
      </w:pPr>
      <w:r w:rsidRPr="00030313">
        <w:rPr>
          <w:rFonts w:ascii="Times New Roman" w:hAnsi="Times New Roman"/>
          <w:sz w:val="28"/>
          <w:szCs w:val="28"/>
          <w:lang w:val="es-ES"/>
        </w:rPr>
        <w:t xml:space="preserve">Argumentó </w:t>
      </w:r>
      <w:r w:rsidRPr="00030313">
        <w:rPr>
          <w:rFonts w:ascii="Times New Roman" w:hAnsi="Times New Roman"/>
          <w:sz w:val="28"/>
          <w:szCs w:val="28"/>
          <w:lang w:val="es-ES"/>
        </w:rPr>
        <w:t>que</w:t>
      </w:r>
      <w:r w:rsidRPr="00030313">
        <w:rPr>
          <w:rFonts w:ascii="Times New Roman" w:hAnsi="Times New Roman"/>
          <w:sz w:val="28"/>
          <w:szCs w:val="28"/>
          <w:lang w:val="es-ES"/>
        </w:rPr>
        <w:t>, a dos años de proferida la Sentencia T-033 de 2022</w:t>
      </w:r>
      <w:r w:rsidRPr="00030313">
        <w:rPr>
          <w:rFonts w:ascii="Times New Roman" w:hAnsi="Times New Roman"/>
          <w:sz w:val="28"/>
          <w:szCs w:val="28"/>
          <w:lang w:val="es-ES"/>
        </w:rPr>
        <w:t xml:space="preserve">, </w:t>
      </w:r>
      <w:r w:rsidRPr="00030313">
        <w:rPr>
          <w:rFonts w:ascii="Times New Roman" w:hAnsi="Times New Roman"/>
          <w:sz w:val="28"/>
          <w:szCs w:val="28"/>
          <w:lang w:val="es-ES"/>
        </w:rPr>
        <w:t xml:space="preserve">es inconstitucional que las entidades que expiden documentos de identificación no cumplan con lo ordenado en dicha providencia de la Corte Constitucional. </w:t>
      </w:r>
      <w:r w:rsidRPr="00030313">
        <w:rPr>
          <w:rFonts w:ascii="Times New Roman" w:hAnsi="Times New Roman"/>
          <w:sz w:val="28"/>
          <w:szCs w:val="28"/>
          <w:lang w:val="es-ES"/>
        </w:rPr>
        <w:t>La persona accionante</w:t>
      </w:r>
      <w:r w:rsidRPr="00030313">
        <w:rPr>
          <w:rFonts w:ascii="Times New Roman" w:hAnsi="Times New Roman"/>
          <w:sz w:val="28"/>
          <w:szCs w:val="28"/>
          <w:lang w:val="es-ES"/>
        </w:rPr>
        <w:t xml:space="preserve"> consideró que la impos</w:t>
      </w:r>
      <w:r w:rsidRPr="00030313">
        <w:rPr>
          <w:rFonts w:ascii="Times New Roman" w:hAnsi="Times New Roman"/>
          <w:sz w:val="28"/>
          <w:szCs w:val="28"/>
          <w:lang w:val="es-ES"/>
        </w:rPr>
        <w:t xml:space="preserve">ibilidad de </w:t>
      </w:r>
      <w:r w:rsidRPr="00030313">
        <w:rPr>
          <w:rFonts w:ascii="Times New Roman" w:hAnsi="Times New Roman"/>
          <w:sz w:val="28"/>
          <w:szCs w:val="28"/>
          <w:lang w:val="es-ES"/>
        </w:rPr>
        <w:t>obtener</w:t>
      </w:r>
      <w:r w:rsidRPr="00030313">
        <w:rPr>
          <w:rFonts w:ascii="Times New Roman" w:hAnsi="Times New Roman"/>
          <w:sz w:val="28"/>
          <w:szCs w:val="28"/>
          <w:lang w:val="es-ES"/>
        </w:rPr>
        <w:t xml:space="preserve"> la cédula de ciudadanía digital se traduce en un trato diferencial para las personas con identidades de género diversas</w:t>
      </w:r>
      <w:r w:rsidRPr="00030313">
        <w:rPr>
          <w:rFonts w:ascii="Times New Roman" w:hAnsi="Times New Roman"/>
          <w:sz w:val="28"/>
          <w:szCs w:val="28"/>
          <w:lang w:val="es-ES"/>
        </w:rPr>
        <w:t xml:space="preserve">. </w:t>
      </w:r>
      <w:r w:rsidRPr="00030313">
        <w:rPr>
          <w:rFonts w:ascii="Times New Roman" w:hAnsi="Times New Roman"/>
          <w:sz w:val="28"/>
          <w:szCs w:val="28"/>
          <w:lang w:val="es-ES"/>
        </w:rPr>
        <w:t xml:space="preserve"> </w:t>
      </w:r>
    </w:p>
    <w:p w:rsidR="00C36B4C" w:rsidRPr="00030313" w:rsidRDefault="00030313" w:rsidP="00C61937">
      <w:pPr>
        <w:pStyle w:val="Lista"/>
        <w:tabs>
          <w:tab w:val="left" w:pos="0"/>
        </w:tabs>
        <w:spacing w:after="0" w:line="240" w:lineRule="auto"/>
        <w:ind w:left="0" w:firstLine="0"/>
        <w:jc w:val="both"/>
        <w:rPr>
          <w:rFonts w:ascii="Times New Roman" w:hAnsi="Times New Roman"/>
          <w:sz w:val="28"/>
          <w:szCs w:val="28"/>
          <w:lang w:val="es-ES"/>
        </w:rPr>
      </w:pPr>
    </w:p>
    <w:p w:rsidR="00191EE4" w:rsidRPr="00030313" w:rsidRDefault="00030313" w:rsidP="00C61937">
      <w:pPr>
        <w:pStyle w:val="Lista"/>
        <w:tabs>
          <w:tab w:val="left" w:pos="0"/>
        </w:tabs>
        <w:spacing w:after="0" w:line="240" w:lineRule="auto"/>
        <w:ind w:left="0" w:firstLine="0"/>
        <w:jc w:val="both"/>
        <w:rPr>
          <w:rFonts w:ascii="Times New Roman" w:hAnsi="Times New Roman"/>
          <w:sz w:val="28"/>
          <w:szCs w:val="28"/>
          <w:lang w:val="es-ES"/>
        </w:rPr>
      </w:pPr>
    </w:p>
    <w:p w:rsidR="00C36B4C" w:rsidRPr="00030313" w:rsidRDefault="00030313" w:rsidP="00C61937">
      <w:pPr>
        <w:pStyle w:val="Ttulo2"/>
        <w:numPr>
          <w:ilvl w:val="1"/>
          <w:numId w:val="5"/>
        </w:numPr>
        <w:rPr>
          <w:rFonts w:ascii="Times New Roman" w:hAnsi="Times New Roman"/>
          <w:sz w:val="28"/>
        </w:rPr>
      </w:pPr>
      <w:bookmarkStart w:id="6" w:name="_Toc183628556"/>
      <w:r w:rsidRPr="00030313">
        <w:rPr>
          <w:rFonts w:ascii="Times New Roman" w:hAnsi="Times New Roman"/>
          <w:sz w:val="28"/>
        </w:rPr>
        <w:t>Trámite procesal de la acción de tutela</w:t>
      </w:r>
      <w:bookmarkEnd w:id="6"/>
    </w:p>
    <w:p w:rsidR="00C36B4C" w:rsidRPr="00030313" w:rsidRDefault="00030313" w:rsidP="00C61937">
      <w:pPr>
        <w:pStyle w:val="Lista"/>
        <w:tabs>
          <w:tab w:val="left" w:pos="0"/>
        </w:tabs>
        <w:spacing w:after="0" w:line="240" w:lineRule="auto"/>
        <w:ind w:left="0" w:firstLine="0"/>
        <w:jc w:val="both"/>
        <w:rPr>
          <w:rFonts w:ascii="Times New Roman" w:hAnsi="Times New Roman"/>
          <w:i/>
          <w:iCs/>
          <w:sz w:val="28"/>
          <w:szCs w:val="28"/>
          <w:lang w:val="es-ES"/>
        </w:rPr>
      </w:pPr>
    </w:p>
    <w:p w:rsidR="00C370E4" w:rsidRPr="00030313" w:rsidRDefault="00030313" w:rsidP="00C61937">
      <w:pPr>
        <w:pStyle w:val="Lista"/>
        <w:numPr>
          <w:ilvl w:val="0"/>
          <w:numId w:val="6"/>
        </w:numPr>
        <w:tabs>
          <w:tab w:val="left" w:pos="0"/>
        </w:tabs>
        <w:spacing w:after="0" w:line="240" w:lineRule="auto"/>
        <w:ind w:left="0" w:firstLine="0"/>
        <w:jc w:val="both"/>
        <w:rPr>
          <w:rFonts w:ascii="Times New Roman" w:hAnsi="Times New Roman"/>
          <w:sz w:val="28"/>
          <w:szCs w:val="28"/>
          <w:lang w:val="es-ES"/>
        </w:rPr>
      </w:pPr>
      <w:r w:rsidRPr="00030313">
        <w:rPr>
          <w:rFonts w:ascii="Times New Roman" w:hAnsi="Times New Roman"/>
          <w:sz w:val="28"/>
          <w:szCs w:val="28"/>
          <w:lang w:val="es-ES"/>
        </w:rPr>
        <w:t xml:space="preserve">El 27 de febrero de 2024, el Juzgado </w:t>
      </w:r>
      <w:r w:rsidRPr="00030313">
        <w:rPr>
          <w:rFonts w:ascii="Times New Roman" w:hAnsi="Times New Roman"/>
          <w:sz w:val="28"/>
          <w:szCs w:val="28"/>
          <w:lang w:val="es-ES"/>
        </w:rPr>
        <w:t>0</w:t>
      </w:r>
      <w:r w:rsidRPr="00030313">
        <w:rPr>
          <w:rFonts w:ascii="Times New Roman" w:hAnsi="Times New Roman"/>
          <w:sz w:val="28"/>
          <w:szCs w:val="28"/>
          <w:lang w:val="es-ES"/>
        </w:rPr>
        <w:t xml:space="preserve">15 Administrativo del Circuito Judicial de Bogotá, Sección Segunda, avocó conocimiento de la acción de tutela y corrió traslado a la parte demandada para que en el término de </w:t>
      </w:r>
      <w:r w:rsidRPr="00030313">
        <w:rPr>
          <w:rFonts w:ascii="Times New Roman" w:hAnsi="Times New Roman"/>
          <w:sz w:val="28"/>
          <w:szCs w:val="28"/>
          <w:lang w:val="es-ES"/>
        </w:rPr>
        <w:t>dos (2) días se refi</w:t>
      </w:r>
      <w:r w:rsidRPr="00030313">
        <w:rPr>
          <w:rFonts w:ascii="Times New Roman" w:hAnsi="Times New Roman"/>
          <w:sz w:val="28"/>
          <w:szCs w:val="28"/>
          <w:lang w:val="es-ES"/>
        </w:rPr>
        <w:t xml:space="preserve">riera </w:t>
      </w:r>
      <w:r w:rsidRPr="00030313">
        <w:rPr>
          <w:rFonts w:ascii="Times New Roman" w:hAnsi="Times New Roman"/>
          <w:sz w:val="28"/>
          <w:szCs w:val="28"/>
          <w:lang w:val="es-ES"/>
        </w:rPr>
        <w:t>a todos los hechos relacionados en el escrito de tutela</w:t>
      </w:r>
      <w:r w:rsidRPr="00030313">
        <w:rPr>
          <w:rStyle w:val="Refdenotaalpie"/>
          <w:rFonts w:ascii="Times New Roman" w:hAnsi="Times New Roman"/>
          <w:sz w:val="28"/>
          <w:szCs w:val="28"/>
          <w:lang w:val="es-ES"/>
        </w:rPr>
        <w:footnoteReference w:id="4"/>
      </w:r>
      <w:r w:rsidRPr="00030313">
        <w:rPr>
          <w:rFonts w:ascii="Times New Roman" w:hAnsi="Times New Roman"/>
          <w:sz w:val="28"/>
          <w:szCs w:val="28"/>
          <w:lang w:val="es-ES"/>
        </w:rPr>
        <w:t>.</w:t>
      </w:r>
      <w:r w:rsidRPr="00030313">
        <w:rPr>
          <w:rFonts w:ascii="Times New Roman" w:hAnsi="Times New Roman"/>
          <w:sz w:val="28"/>
          <w:szCs w:val="28"/>
          <w:lang w:val="es-ES"/>
        </w:rPr>
        <w:t xml:space="preserve"> </w:t>
      </w:r>
    </w:p>
    <w:p w:rsidR="00C36B4C" w:rsidRPr="00030313" w:rsidRDefault="00030313" w:rsidP="00C61937">
      <w:pPr>
        <w:pStyle w:val="Lista"/>
        <w:tabs>
          <w:tab w:val="left" w:pos="0"/>
        </w:tabs>
        <w:spacing w:after="0" w:line="240" w:lineRule="auto"/>
        <w:ind w:left="0" w:firstLine="0"/>
        <w:jc w:val="both"/>
        <w:rPr>
          <w:rFonts w:ascii="Times New Roman" w:hAnsi="Times New Roman"/>
          <w:sz w:val="28"/>
          <w:szCs w:val="28"/>
          <w:lang w:val="es-ES"/>
        </w:rPr>
      </w:pPr>
    </w:p>
    <w:p w:rsidR="0000146D" w:rsidRPr="00030313" w:rsidRDefault="00030313" w:rsidP="00C61937">
      <w:pPr>
        <w:pStyle w:val="Lista"/>
        <w:numPr>
          <w:ilvl w:val="0"/>
          <w:numId w:val="6"/>
        </w:numPr>
        <w:tabs>
          <w:tab w:val="left" w:pos="0"/>
        </w:tabs>
        <w:spacing w:after="0" w:line="240" w:lineRule="auto"/>
        <w:ind w:left="0" w:firstLine="0"/>
        <w:jc w:val="both"/>
        <w:rPr>
          <w:rFonts w:ascii="Times New Roman" w:hAnsi="Times New Roman"/>
          <w:sz w:val="28"/>
          <w:szCs w:val="28"/>
          <w:lang w:val="es-ES"/>
        </w:rPr>
      </w:pPr>
      <w:r w:rsidRPr="00030313">
        <w:rPr>
          <w:rFonts w:ascii="Times New Roman" w:hAnsi="Times New Roman"/>
          <w:b/>
          <w:i/>
          <w:sz w:val="28"/>
          <w:lang w:val="es-ES"/>
        </w:rPr>
        <w:t>Respuesta de</w:t>
      </w:r>
      <w:r w:rsidRPr="00030313">
        <w:rPr>
          <w:rFonts w:ascii="Times New Roman" w:hAnsi="Times New Roman"/>
          <w:b/>
          <w:i/>
          <w:sz w:val="28"/>
          <w:lang w:val="es-ES"/>
        </w:rPr>
        <w:t xml:space="preserve"> la Registraduría Nacional del Estado Civil</w:t>
      </w:r>
      <w:r w:rsidRPr="00030313">
        <w:rPr>
          <w:rStyle w:val="Refdenotaalpie"/>
          <w:rFonts w:ascii="Times New Roman" w:hAnsi="Times New Roman"/>
          <w:b/>
          <w:sz w:val="28"/>
          <w:lang w:val="es-ES"/>
        </w:rPr>
        <w:footnoteReference w:id="5"/>
      </w:r>
      <w:r w:rsidRPr="00030313">
        <w:rPr>
          <w:rFonts w:ascii="Times New Roman" w:hAnsi="Times New Roman"/>
          <w:b/>
          <w:i/>
          <w:sz w:val="28"/>
          <w:lang w:val="es-ES"/>
        </w:rPr>
        <w:t>.</w:t>
      </w:r>
      <w:r w:rsidRPr="00030313">
        <w:rPr>
          <w:rFonts w:ascii="Times New Roman" w:hAnsi="Times New Roman"/>
          <w:iCs/>
          <w:sz w:val="28"/>
          <w:szCs w:val="28"/>
          <w:lang w:val="es-ES"/>
        </w:rPr>
        <w:t xml:space="preserve"> </w:t>
      </w:r>
      <w:r w:rsidRPr="00030313">
        <w:rPr>
          <w:rFonts w:ascii="Times New Roman" w:hAnsi="Times New Roman"/>
          <w:iCs/>
          <w:sz w:val="28"/>
          <w:szCs w:val="28"/>
          <w:lang w:val="es-ES"/>
        </w:rPr>
        <w:t xml:space="preserve">El </w:t>
      </w:r>
      <w:r w:rsidRPr="00030313">
        <w:rPr>
          <w:rFonts w:ascii="Times New Roman" w:hAnsi="Times New Roman"/>
          <w:iCs/>
          <w:sz w:val="28"/>
          <w:szCs w:val="28"/>
          <w:lang w:val="es-ES"/>
        </w:rPr>
        <w:t xml:space="preserve">5 de marzo de 2024, la Registraduría Nacional del Estado Civil remitió contestación al Juzgado </w:t>
      </w:r>
      <w:r w:rsidRPr="00030313">
        <w:rPr>
          <w:rFonts w:ascii="Times New Roman" w:hAnsi="Times New Roman"/>
          <w:iCs/>
          <w:sz w:val="28"/>
          <w:szCs w:val="28"/>
          <w:lang w:val="es-ES"/>
        </w:rPr>
        <w:t>0</w:t>
      </w:r>
      <w:r w:rsidRPr="00030313">
        <w:rPr>
          <w:rFonts w:ascii="Times New Roman" w:hAnsi="Times New Roman"/>
          <w:iCs/>
          <w:sz w:val="28"/>
          <w:szCs w:val="28"/>
          <w:lang w:val="es-ES"/>
        </w:rPr>
        <w:t xml:space="preserve">15 Administrativo del Circuito Judicial de Bogotá, Sección Segunda, por medio de la cual </w:t>
      </w:r>
      <w:r w:rsidRPr="00030313">
        <w:rPr>
          <w:rFonts w:ascii="Times New Roman" w:hAnsi="Times New Roman"/>
          <w:iCs/>
          <w:sz w:val="28"/>
          <w:szCs w:val="28"/>
          <w:lang w:val="es-ES"/>
        </w:rPr>
        <w:t>solic</w:t>
      </w:r>
      <w:r w:rsidRPr="00030313">
        <w:rPr>
          <w:rFonts w:ascii="Times New Roman" w:hAnsi="Times New Roman"/>
          <w:iCs/>
          <w:sz w:val="28"/>
          <w:szCs w:val="28"/>
          <w:lang w:val="es-ES"/>
        </w:rPr>
        <w:t xml:space="preserve">itó que se negara la acción de tutela presentada por </w:t>
      </w:r>
      <w:r w:rsidRPr="00030313">
        <w:rPr>
          <w:rFonts w:ascii="Times New Roman" w:hAnsi="Times New Roman"/>
          <w:i/>
          <w:sz w:val="28"/>
          <w:szCs w:val="28"/>
          <w:lang w:val="es-ES"/>
        </w:rPr>
        <w:t>Sergio</w:t>
      </w:r>
      <w:r w:rsidRPr="00030313">
        <w:rPr>
          <w:rFonts w:ascii="Times New Roman" w:hAnsi="Times New Roman"/>
          <w:iCs/>
          <w:sz w:val="28"/>
          <w:szCs w:val="28"/>
          <w:lang w:val="es-ES"/>
        </w:rPr>
        <w:t>, al considerar que la entidad no incurrió en acción u omisión que pusiera en peligro sus derechos fundamentales</w:t>
      </w:r>
      <w:r w:rsidRPr="00030313">
        <w:rPr>
          <w:rStyle w:val="Refdenotaalpie"/>
          <w:rFonts w:ascii="Times New Roman" w:hAnsi="Times New Roman"/>
          <w:iCs/>
          <w:sz w:val="28"/>
          <w:szCs w:val="28"/>
          <w:lang w:val="es-ES"/>
        </w:rPr>
        <w:footnoteReference w:id="6"/>
      </w:r>
      <w:r w:rsidRPr="00030313">
        <w:rPr>
          <w:rFonts w:ascii="Times New Roman" w:hAnsi="Times New Roman"/>
          <w:iCs/>
          <w:sz w:val="28"/>
          <w:szCs w:val="28"/>
          <w:lang w:val="es-ES"/>
        </w:rPr>
        <w:t>.</w:t>
      </w:r>
      <w:r w:rsidRPr="00030313">
        <w:rPr>
          <w:rFonts w:ascii="Times New Roman" w:hAnsi="Times New Roman"/>
          <w:iCs/>
          <w:sz w:val="28"/>
          <w:szCs w:val="28"/>
          <w:lang w:val="es-ES"/>
        </w:rPr>
        <w:t xml:space="preserve"> Para argumentar su postura, </w:t>
      </w:r>
      <w:r w:rsidRPr="00030313">
        <w:rPr>
          <w:rFonts w:ascii="Times New Roman" w:hAnsi="Times New Roman"/>
          <w:iCs/>
          <w:sz w:val="28"/>
          <w:szCs w:val="28"/>
          <w:lang w:val="es-ES"/>
        </w:rPr>
        <w:t>señaló varios aspectos a tener en cuenta</w:t>
      </w:r>
      <w:r w:rsidRPr="00030313">
        <w:rPr>
          <w:rFonts w:ascii="Times New Roman" w:hAnsi="Times New Roman"/>
          <w:iCs/>
          <w:sz w:val="28"/>
          <w:szCs w:val="28"/>
          <w:lang w:val="es-ES"/>
        </w:rPr>
        <w:t xml:space="preserve">: primero, al consultar la página </w:t>
      </w:r>
      <w:r w:rsidRPr="00030313">
        <w:rPr>
          <w:rFonts w:ascii="Times New Roman" w:hAnsi="Times New Roman"/>
          <w:i/>
          <w:sz w:val="28"/>
          <w:szCs w:val="28"/>
          <w:lang w:val="es-ES"/>
        </w:rPr>
        <w:t xml:space="preserve">webservice </w:t>
      </w:r>
      <w:r w:rsidRPr="00030313">
        <w:rPr>
          <w:rFonts w:ascii="Times New Roman" w:hAnsi="Times New Roman"/>
          <w:iCs/>
          <w:sz w:val="28"/>
          <w:szCs w:val="28"/>
          <w:lang w:val="es-ES"/>
        </w:rPr>
        <w:t xml:space="preserve">de la entidad, se evidenció que </w:t>
      </w:r>
      <w:r w:rsidRPr="00030313">
        <w:rPr>
          <w:rFonts w:ascii="Times New Roman" w:hAnsi="Times New Roman"/>
          <w:iCs/>
          <w:sz w:val="28"/>
          <w:szCs w:val="28"/>
          <w:lang w:val="es-ES"/>
        </w:rPr>
        <w:t>el 10 de febrero de 2023 se realizó una rectificación de la cédula de ciudadanía de</w:t>
      </w:r>
      <w:r w:rsidRPr="00030313">
        <w:rPr>
          <w:rFonts w:ascii="Times New Roman" w:hAnsi="Times New Roman"/>
          <w:iCs/>
          <w:sz w:val="28"/>
          <w:szCs w:val="28"/>
          <w:lang w:val="es-ES"/>
        </w:rPr>
        <w:t xml:space="preserve"> la persona</w:t>
      </w:r>
      <w:r w:rsidRPr="00030313">
        <w:rPr>
          <w:rFonts w:ascii="Times New Roman" w:hAnsi="Times New Roman"/>
          <w:iCs/>
          <w:sz w:val="28"/>
          <w:szCs w:val="28"/>
          <w:lang w:val="es-ES"/>
        </w:rPr>
        <w:t xml:space="preserve"> accionant</w:t>
      </w:r>
      <w:r w:rsidRPr="00030313">
        <w:rPr>
          <w:rFonts w:ascii="Times New Roman" w:hAnsi="Times New Roman"/>
          <w:iCs/>
          <w:sz w:val="28"/>
          <w:szCs w:val="28"/>
          <w:lang w:val="es-ES"/>
        </w:rPr>
        <w:t>e</w:t>
      </w:r>
      <w:r w:rsidRPr="00030313">
        <w:rPr>
          <w:rFonts w:ascii="Times New Roman" w:hAnsi="Times New Roman"/>
          <w:iCs/>
          <w:sz w:val="28"/>
          <w:szCs w:val="28"/>
          <w:lang w:val="es-ES"/>
        </w:rPr>
        <w:t xml:space="preserve"> respecto de su componente sexo</w:t>
      </w:r>
      <w:r w:rsidRPr="00030313">
        <w:rPr>
          <w:rFonts w:ascii="Times New Roman" w:hAnsi="Times New Roman"/>
          <w:iCs/>
          <w:sz w:val="28"/>
          <w:szCs w:val="28"/>
          <w:lang w:val="es-ES"/>
        </w:rPr>
        <w:t>, con base en su registro civil de nacimien</w:t>
      </w:r>
      <w:r w:rsidRPr="00030313">
        <w:rPr>
          <w:rFonts w:ascii="Times New Roman" w:hAnsi="Times New Roman"/>
          <w:iCs/>
          <w:sz w:val="28"/>
          <w:szCs w:val="28"/>
          <w:lang w:val="es-ES"/>
        </w:rPr>
        <w:t>to, razón por la cual se le entregó al ciudadano la cédula de ciudadanía amarilla en hologram</w:t>
      </w:r>
      <w:r w:rsidRPr="00030313">
        <w:rPr>
          <w:rFonts w:ascii="Times New Roman" w:hAnsi="Times New Roman"/>
          <w:iCs/>
          <w:sz w:val="28"/>
          <w:szCs w:val="28"/>
          <w:lang w:val="es-ES"/>
        </w:rPr>
        <w:t xml:space="preserve">a con el componente sexo “NB”. </w:t>
      </w:r>
    </w:p>
    <w:p w:rsidR="00373F39" w:rsidRPr="00030313" w:rsidRDefault="00030313" w:rsidP="00C61937">
      <w:pPr>
        <w:pStyle w:val="Lista"/>
        <w:tabs>
          <w:tab w:val="left" w:pos="0"/>
        </w:tabs>
        <w:spacing w:after="0" w:line="240" w:lineRule="auto"/>
        <w:ind w:left="0" w:firstLine="0"/>
        <w:jc w:val="both"/>
        <w:rPr>
          <w:rFonts w:ascii="Times New Roman" w:hAnsi="Times New Roman"/>
          <w:sz w:val="28"/>
          <w:szCs w:val="28"/>
          <w:lang w:val="es-ES"/>
        </w:rPr>
      </w:pPr>
    </w:p>
    <w:p w:rsidR="001209C0" w:rsidRPr="00030313" w:rsidRDefault="00030313" w:rsidP="00C61937">
      <w:pPr>
        <w:pStyle w:val="Lista"/>
        <w:numPr>
          <w:ilvl w:val="0"/>
          <w:numId w:val="6"/>
        </w:numPr>
        <w:tabs>
          <w:tab w:val="left" w:pos="0"/>
        </w:tabs>
        <w:spacing w:after="0" w:line="240" w:lineRule="auto"/>
        <w:ind w:left="0" w:firstLine="0"/>
        <w:jc w:val="both"/>
        <w:rPr>
          <w:rFonts w:ascii="Times New Roman" w:hAnsi="Times New Roman"/>
          <w:sz w:val="28"/>
          <w:szCs w:val="28"/>
          <w:lang w:val="es-ES"/>
        </w:rPr>
      </w:pPr>
      <w:r w:rsidRPr="00030313">
        <w:rPr>
          <w:rFonts w:ascii="Times New Roman" w:hAnsi="Times New Roman"/>
          <w:bCs/>
          <w:iCs/>
          <w:sz w:val="28"/>
          <w:lang w:val="es-ES"/>
        </w:rPr>
        <w:t xml:space="preserve">En segundo lugar, </w:t>
      </w:r>
      <w:r w:rsidRPr="00030313">
        <w:rPr>
          <w:rFonts w:ascii="Times New Roman" w:hAnsi="Times New Roman"/>
          <w:bCs/>
          <w:iCs/>
          <w:sz w:val="28"/>
          <w:lang w:val="es-ES"/>
        </w:rPr>
        <w:t xml:space="preserve">en </w:t>
      </w:r>
      <w:r w:rsidRPr="00030313">
        <w:rPr>
          <w:rFonts w:ascii="Times New Roman" w:hAnsi="Times New Roman"/>
          <w:bCs/>
          <w:iCs/>
          <w:sz w:val="28"/>
          <w:lang w:val="es-ES"/>
        </w:rPr>
        <w:t xml:space="preserve">atención a la expedición de la cédula digital, </w:t>
      </w:r>
      <w:r w:rsidRPr="00030313">
        <w:rPr>
          <w:rFonts w:ascii="Times New Roman" w:hAnsi="Times New Roman"/>
          <w:bCs/>
          <w:iCs/>
          <w:sz w:val="28"/>
          <w:lang w:val="es-ES"/>
        </w:rPr>
        <w:t>se informó que</w:t>
      </w:r>
      <w:r w:rsidRPr="00030313">
        <w:rPr>
          <w:rFonts w:ascii="Times New Roman" w:hAnsi="Times New Roman"/>
          <w:bCs/>
          <w:iCs/>
          <w:sz w:val="28"/>
          <w:lang w:val="es-ES"/>
        </w:rPr>
        <w:t xml:space="preserve"> la Registraduría Nacional del Estado Civil está</w:t>
      </w:r>
      <w:r w:rsidRPr="00030313">
        <w:rPr>
          <w:rFonts w:ascii="Times New Roman" w:hAnsi="Times New Roman"/>
          <w:bCs/>
          <w:iCs/>
          <w:sz w:val="28"/>
          <w:lang w:val="es-ES"/>
        </w:rPr>
        <w:t xml:space="preserve"> comprometida con la oportuna implementación de la categoría “No Binario” dentro de los marcadores de sexo en la cédula de ciudadanía</w:t>
      </w:r>
      <w:r w:rsidRPr="00030313">
        <w:rPr>
          <w:rFonts w:ascii="Times New Roman" w:hAnsi="Times New Roman"/>
          <w:bCs/>
          <w:iCs/>
          <w:sz w:val="28"/>
          <w:lang w:val="es-ES"/>
        </w:rPr>
        <w:t xml:space="preserve">. Para hacer efectivo el cumplimiento, se </w:t>
      </w:r>
      <w:r w:rsidRPr="00030313">
        <w:rPr>
          <w:rFonts w:ascii="Times New Roman" w:hAnsi="Times New Roman"/>
          <w:bCs/>
          <w:iCs/>
          <w:sz w:val="28"/>
          <w:lang w:val="es-ES"/>
        </w:rPr>
        <w:t>solicitaron</w:t>
      </w:r>
      <w:r w:rsidRPr="00030313">
        <w:rPr>
          <w:rFonts w:ascii="Times New Roman" w:hAnsi="Times New Roman"/>
          <w:bCs/>
          <w:iCs/>
          <w:sz w:val="28"/>
          <w:lang w:val="es-ES"/>
        </w:rPr>
        <w:t xml:space="preserve"> </w:t>
      </w:r>
      <w:r w:rsidRPr="00030313">
        <w:rPr>
          <w:rFonts w:ascii="Times New Roman" w:hAnsi="Times New Roman"/>
          <w:bCs/>
          <w:iCs/>
          <w:sz w:val="28"/>
          <w:lang w:val="es-ES"/>
        </w:rPr>
        <w:t xml:space="preserve">ante el Departamento Nacional de Planeación </w:t>
      </w:r>
      <w:r w:rsidRPr="00030313">
        <w:rPr>
          <w:rFonts w:ascii="Times New Roman" w:hAnsi="Times New Roman"/>
          <w:bCs/>
          <w:iCs/>
          <w:sz w:val="28"/>
          <w:lang w:val="es-ES"/>
        </w:rPr>
        <w:t xml:space="preserve">recursos adicionales al </w:t>
      </w:r>
      <w:r w:rsidRPr="00030313">
        <w:rPr>
          <w:rFonts w:ascii="Times New Roman" w:hAnsi="Times New Roman"/>
          <w:bCs/>
          <w:iCs/>
          <w:sz w:val="28"/>
          <w:lang w:val="es-ES"/>
        </w:rPr>
        <w:t>proyecto de inversión denominado “</w:t>
      </w:r>
      <w:r w:rsidRPr="00030313">
        <w:rPr>
          <w:rFonts w:ascii="Times New Roman" w:hAnsi="Times New Roman"/>
          <w:bCs/>
          <w:i/>
          <w:sz w:val="28"/>
          <w:lang w:val="es-ES"/>
        </w:rPr>
        <w:t>FORTALECIMIENTO DE LA PLATAFORMA TECNOLÓGICA QUE SOPORTA EL SISTEMA DE IDENTIFICACIÓN Y REGISTRO CIVIL PMT II”</w:t>
      </w:r>
      <w:r w:rsidRPr="00030313">
        <w:rPr>
          <w:rStyle w:val="Refdenotaalpie"/>
          <w:rFonts w:ascii="Times New Roman" w:hAnsi="Times New Roman"/>
          <w:bCs/>
          <w:iCs/>
          <w:sz w:val="28"/>
          <w:lang w:val="es-ES"/>
        </w:rPr>
        <w:footnoteReference w:id="7"/>
      </w:r>
      <w:r w:rsidRPr="00030313">
        <w:rPr>
          <w:rFonts w:ascii="Times New Roman" w:hAnsi="Times New Roman"/>
          <w:bCs/>
          <w:iCs/>
          <w:sz w:val="28"/>
          <w:lang w:val="es-ES"/>
        </w:rPr>
        <w:t>,</w:t>
      </w:r>
      <w:r w:rsidRPr="00030313">
        <w:rPr>
          <w:rFonts w:ascii="Times New Roman" w:hAnsi="Times New Roman"/>
          <w:bCs/>
          <w:iCs/>
          <w:sz w:val="28"/>
          <w:lang w:val="es-ES"/>
        </w:rPr>
        <w:t xml:space="preserve"> con el objetivo de </w:t>
      </w:r>
      <w:r w:rsidRPr="00030313">
        <w:rPr>
          <w:rFonts w:ascii="Times New Roman" w:hAnsi="Times New Roman"/>
          <w:bCs/>
          <w:iCs/>
          <w:sz w:val="28"/>
          <w:lang w:val="es-ES"/>
        </w:rPr>
        <w:t>ajustar lo requerido en e</w:t>
      </w:r>
      <w:r w:rsidRPr="00030313">
        <w:rPr>
          <w:rFonts w:ascii="Times New Roman" w:hAnsi="Times New Roman"/>
          <w:bCs/>
          <w:iCs/>
          <w:sz w:val="28"/>
          <w:lang w:val="es-ES"/>
        </w:rPr>
        <w:t xml:space="preserve">l Sistema de Registro Civil e Identificación </w:t>
      </w:r>
      <w:r w:rsidRPr="00030313">
        <w:rPr>
          <w:rFonts w:ascii="Times New Roman" w:hAnsi="Times New Roman"/>
          <w:bCs/>
          <w:iCs/>
          <w:sz w:val="28"/>
          <w:lang w:val="es-ES"/>
        </w:rPr>
        <w:t>de cara a la</w:t>
      </w:r>
      <w:r w:rsidRPr="00030313">
        <w:rPr>
          <w:rFonts w:ascii="Times New Roman" w:hAnsi="Times New Roman"/>
          <w:bCs/>
          <w:iCs/>
          <w:sz w:val="28"/>
          <w:lang w:val="es-ES"/>
        </w:rPr>
        <w:t xml:space="preserve"> inclusi</w:t>
      </w:r>
      <w:r w:rsidRPr="00030313">
        <w:rPr>
          <w:rFonts w:ascii="Times New Roman" w:hAnsi="Times New Roman"/>
          <w:bCs/>
          <w:iCs/>
          <w:sz w:val="28"/>
          <w:lang w:val="es-ES"/>
        </w:rPr>
        <w:t xml:space="preserve">ón de datos adicionales en el campo “Sexo”. </w:t>
      </w:r>
    </w:p>
    <w:p w:rsidR="001209C0" w:rsidRPr="00030313" w:rsidRDefault="00030313" w:rsidP="00C61937">
      <w:pPr>
        <w:pStyle w:val="Lista"/>
        <w:tabs>
          <w:tab w:val="left" w:pos="0"/>
        </w:tabs>
        <w:spacing w:after="0" w:line="240" w:lineRule="auto"/>
        <w:ind w:left="0" w:firstLine="0"/>
        <w:jc w:val="both"/>
        <w:rPr>
          <w:rFonts w:ascii="Times New Roman" w:hAnsi="Times New Roman"/>
          <w:sz w:val="28"/>
          <w:szCs w:val="28"/>
          <w:lang w:val="es-ES"/>
        </w:rPr>
      </w:pPr>
    </w:p>
    <w:p w:rsidR="00A3472A" w:rsidRPr="00030313" w:rsidRDefault="00030313" w:rsidP="00C61937">
      <w:pPr>
        <w:pStyle w:val="Lista"/>
        <w:numPr>
          <w:ilvl w:val="0"/>
          <w:numId w:val="6"/>
        </w:numPr>
        <w:tabs>
          <w:tab w:val="left" w:pos="0"/>
        </w:tabs>
        <w:spacing w:after="0" w:line="240" w:lineRule="auto"/>
        <w:ind w:left="0" w:firstLine="0"/>
        <w:jc w:val="both"/>
        <w:rPr>
          <w:rFonts w:ascii="Times New Roman" w:hAnsi="Times New Roman"/>
          <w:sz w:val="28"/>
          <w:szCs w:val="28"/>
          <w:lang w:val="es-ES"/>
        </w:rPr>
      </w:pPr>
      <w:r w:rsidRPr="00030313">
        <w:rPr>
          <w:rFonts w:ascii="Times New Roman" w:hAnsi="Times New Roman"/>
          <w:bCs/>
          <w:iCs/>
          <w:sz w:val="28"/>
          <w:lang w:val="es-ES"/>
        </w:rPr>
        <w:t xml:space="preserve">Agregó que, ante el volumen de peticiones </w:t>
      </w:r>
      <w:r w:rsidRPr="00030313">
        <w:rPr>
          <w:rFonts w:ascii="Times New Roman" w:hAnsi="Times New Roman"/>
          <w:bCs/>
          <w:iCs/>
          <w:sz w:val="28"/>
          <w:lang w:val="es-ES"/>
        </w:rPr>
        <w:t>relacionadas con el asunto concreto,</w:t>
      </w:r>
      <w:r w:rsidRPr="00030313">
        <w:rPr>
          <w:rFonts w:ascii="Times New Roman" w:hAnsi="Times New Roman"/>
          <w:bCs/>
          <w:iCs/>
          <w:sz w:val="28"/>
          <w:lang w:val="es-ES"/>
        </w:rPr>
        <w:t xml:space="preserve"> es importante resaltar que las bases de dato</w:t>
      </w:r>
      <w:r w:rsidRPr="00030313">
        <w:rPr>
          <w:rFonts w:ascii="Times New Roman" w:hAnsi="Times New Roman"/>
          <w:bCs/>
          <w:iCs/>
          <w:sz w:val="28"/>
          <w:lang w:val="es-ES"/>
        </w:rPr>
        <w:t>s</w:t>
      </w:r>
      <w:r w:rsidRPr="00030313">
        <w:rPr>
          <w:rFonts w:ascii="Times New Roman" w:hAnsi="Times New Roman"/>
          <w:bCs/>
          <w:iCs/>
          <w:sz w:val="28"/>
          <w:lang w:val="es-ES"/>
        </w:rPr>
        <w:t xml:space="preserve"> que produce y administra la Registraduría Nacional del Estado Civil, </w:t>
      </w:r>
      <w:r w:rsidRPr="00030313">
        <w:rPr>
          <w:rFonts w:ascii="Times New Roman" w:hAnsi="Times New Roman"/>
          <w:bCs/>
          <w:iCs/>
          <w:sz w:val="28"/>
          <w:lang w:val="es-ES"/>
        </w:rPr>
        <w:t>no admiten la in</w:t>
      </w:r>
      <w:r w:rsidRPr="00030313">
        <w:rPr>
          <w:rFonts w:ascii="Times New Roman" w:hAnsi="Times New Roman"/>
          <w:bCs/>
          <w:iCs/>
          <w:sz w:val="28"/>
          <w:lang w:val="es-ES"/>
        </w:rPr>
        <w:t>clusión del marcador NB, hasta tanto el Departamento Nacional de Planeación asigne los recursos necesarios “</w:t>
      </w:r>
      <w:r w:rsidRPr="00030313">
        <w:rPr>
          <w:rFonts w:ascii="Times New Roman" w:hAnsi="Times New Roman"/>
          <w:bCs/>
          <w:i/>
          <w:sz w:val="28"/>
          <w:lang w:val="es-ES"/>
        </w:rPr>
        <w:t>para parametrizar los sistemas de Registro Civil e identificación (solicitados desde el pasado 9 de marzo de 2022)</w:t>
      </w:r>
      <w:r w:rsidRPr="00030313">
        <w:rPr>
          <w:rFonts w:ascii="Times New Roman" w:hAnsi="Times New Roman"/>
          <w:bCs/>
          <w:i/>
          <w:sz w:val="28"/>
          <w:lang w:val="es-ES"/>
        </w:rPr>
        <w:t>”</w:t>
      </w:r>
      <w:r w:rsidRPr="00030313">
        <w:rPr>
          <w:rStyle w:val="Refdenotaalpie"/>
          <w:rFonts w:ascii="Times New Roman" w:hAnsi="Times New Roman"/>
          <w:bCs/>
          <w:iCs/>
          <w:sz w:val="28"/>
          <w:lang w:val="es-ES"/>
        </w:rPr>
        <w:footnoteReference w:id="8"/>
      </w:r>
      <w:r w:rsidRPr="00030313">
        <w:rPr>
          <w:rFonts w:ascii="Times New Roman" w:hAnsi="Times New Roman"/>
          <w:bCs/>
          <w:iCs/>
          <w:sz w:val="28"/>
          <w:lang w:val="es-ES"/>
        </w:rPr>
        <w:t>,</w:t>
      </w:r>
      <w:r w:rsidRPr="00030313">
        <w:rPr>
          <w:rFonts w:ascii="Times New Roman" w:hAnsi="Times New Roman"/>
          <w:bCs/>
          <w:iCs/>
          <w:sz w:val="28"/>
          <w:lang w:val="es-ES"/>
        </w:rPr>
        <w:t xml:space="preserve"> </w:t>
      </w:r>
      <w:r w:rsidRPr="00030313">
        <w:rPr>
          <w:rFonts w:ascii="Times New Roman" w:hAnsi="Times New Roman"/>
          <w:bCs/>
          <w:iCs/>
          <w:sz w:val="28"/>
          <w:lang w:val="es-ES"/>
        </w:rPr>
        <w:t xml:space="preserve">por lo cual, hasta que dicho </w:t>
      </w:r>
      <w:r w:rsidRPr="00030313">
        <w:rPr>
          <w:rFonts w:ascii="Times New Roman" w:hAnsi="Times New Roman"/>
          <w:bCs/>
          <w:iCs/>
          <w:sz w:val="28"/>
          <w:lang w:val="es-ES"/>
        </w:rPr>
        <w:t>procedimiento</w:t>
      </w:r>
      <w:r w:rsidRPr="00030313">
        <w:rPr>
          <w:rFonts w:ascii="Times New Roman" w:hAnsi="Times New Roman"/>
          <w:bCs/>
          <w:iCs/>
          <w:sz w:val="28"/>
          <w:lang w:val="es-ES"/>
        </w:rPr>
        <w:t xml:space="preserve"> no se realice, se deberá hacer forma manual. </w:t>
      </w:r>
      <w:r w:rsidRPr="00030313">
        <w:rPr>
          <w:rFonts w:ascii="Times New Roman" w:hAnsi="Times New Roman"/>
          <w:sz w:val="28"/>
          <w:szCs w:val="28"/>
          <w:lang w:val="es-ES"/>
        </w:rPr>
        <w:t>Con todo, la Registraduría enfatizó que “</w:t>
      </w:r>
      <w:r w:rsidRPr="00030313">
        <w:rPr>
          <w:rFonts w:ascii="Times New Roman" w:hAnsi="Times New Roman"/>
          <w:i/>
          <w:iCs/>
          <w:sz w:val="28"/>
          <w:szCs w:val="28"/>
          <w:lang w:val="es-ES"/>
        </w:rPr>
        <w:t>la negativa a expedir l</w:t>
      </w:r>
      <w:r w:rsidRPr="00030313">
        <w:rPr>
          <w:rFonts w:ascii="Times New Roman" w:hAnsi="Times New Roman"/>
          <w:i/>
          <w:iCs/>
          <w:sz w:val="28"/>
          <w:szCs w:val="28"/>
          <w:lang w:val="es-ES"/>
        </w:rPr>
        <w:t>a</w:t>
      </w:r>
      <w:r w:rsidRPr="00030313">
        <w:rPr>
          <w:rFonts w:ascii="Times New Roman" w:hAnsi="Times New Roman"/>
          <w:i/>
          <w:iCs/>
          <w:sz w:val="28"/>
          <w:szCs w:val="28"/>
          <w:lang w:val="es-ES"/>
        </w:rPr>
        <w:t xml:space="preserve"> cédula digital con el componente sexo ‘NB’ alude a razones exclusivamente técnicas y económicas, las cuales impiden en este momento</w:t>
      </w:r>
      <w:r w:rsidRPr="00030313">
        <w:rPr>
          <w:rFonts w:ascii="Times New Roman" w:hAnsi="Times New Roman"/>
          <w:i/>
          <w:iCs/>
          <w:sz w:val="28"/>
          <w:szCs w:val="28"/>
          <w:lang w:val="es-ES"/>
        </w:rPr>
        <w:t xml:space="preserve"> la producción de un documento con estas características, más </w:t>
      </w:r>
      <w:r w:rsidRPr="00030313">
        <w:rPr>
          <w:rFonts w:ascii="Times New Roman" w:hAnsi="Times New Roman"/>
          <w:sz w:val="28"/>
          <w:szCs w:val="28"/>
          <w:lang w:val="es-ES"/>
        </w:rPr>
        <w:t xml:space="preserve">(sic) </w:t>
      </w:r>
      <w:r w:rsidRPr="00030313">
        <w:rPr>
          <w:rFonts w:ascii="Times New Roman" w:hAnsi="Times New Roman"/>
          <w:i/>
          <w:iCs/>
          <w:sz w:val="28"/>
          <w:szCs w:val="28"/>
          <w:lang w:val="es-ES"/>
        </w:rPr>
        <w:t>no quiere decir esto que la entidad se encuentre contraria a expedirlas, por lo que se aspira poder hacerlo en un futuro”</w:t>
      </w:r>
      <w:r w:rsidRPr="00030313">
        <w:rPr>
          <w:rStyle w:val="Refdenotaalpie"/>
          <w:rFonts w:ascii="Times New Roman" w:hAnsi="Times New Roman"/>
          <w:i/>
          <w:iCs/>
          <w:sz w:val="28"/>
          <w:szCs w:val="28"/>
          <w:lang w:val="es-ES"/>
        </w:rPr>
        <w:footnoteReference w:id="9"/>
      </w:r>
      <w:r w:rsidRPr="00030313">
        <w:rPr>
          <w:rFonts w:ascii="Times New Roman" w:hAnsi="Times New Roman"/>
          <w:i/>
          <w:iCs/>
          <w:sz w:val="28"/>
          <w:szCs w:val="28"/>
          <w:lang w:val="es-ES"/>
        </w:rPr>
        <w:t xml:space="preserve">. </w:t>
      </w:r>
    </w:p>
    <w:p w:rsidR="00865AA4" w:rsidRPr="00030313" w:rsidRDefault="00030313" w:rsidP="00C61937">
      <w:pPr>
        <w:pStyle w:val="Lista"/>
        <w:tabs>
          <w:tab w:val="left" w:pos="0"/>
        </w:tabs>
        <w:spacing w:after="0" w:line="240" w:lineRule="auto"/>
        <w:ind w:left="0" w:firstLine="0"/>
        <w:jc w:val="both"/>
        <w:rPr>
          <w:rFonts w:ascii="Times New Roman" w:hAnsi="Times New Roman"/>
          <w:sz w:val="28"/>
          <w:szCs w:val="28"/>
          <w:lang w:val="es-ES"/>
        </w:rPr>
      </w:pPr>
    </w:p>
    <w:p w:rsidR="00865AA4" w:rsidRPr="00030313" w:rsidRDefault="00030313" w:rsidP="00C61937">
      <w:pPr>
        <w:pStyle w:val="Lista"/>
        <w:numPr>
          <w:ilvl w:val="0"/>
          <w:numId w:val="6"/>
        </w:numPr>
        <w:tabs>
          <w:tab w:val="left" w:pos="0"/>
        </w:tabs>
        <w:spacing w:after="0" w:line="240" w:lineRule="auto"/>
        <w:ind w:left="0" w:firstLine="0"/>
        <w:jc w:val="both"/>
        <w:rPr>
          <w:rFonts w:ascii="Times New Roman" w:hAnsi="Times New Roman"/>
          <w:sz w:val="28"/>
          <w:szCs w:val="28"/>
          <w:lang w:val="es-ES"/>
        </w:rPr>
      </w:pPr>
      <w:r w:rsidRPr="00030313">
        <w:rPr>
          <w:rFonts w:ascii="Times New Roman" w:hAnsi="Times New Roman"/>
          <w:sz w:val="28"/>
          <w:szCs w:val="28"/>
          <w:lang w:val="es-ES"/>
        </w:rPr>
        <w:t>E</w:t>
      </w:r>
      <w:r w:rsidRPr="00030313">
        <w:rPr>
          <w:rFonts w:ascii="Times New Roman" w:hAnsi="Times New Roman"/>
          <w:sz w:val="28"/>
          <w:szCs w:val="28"/>
          <w:lang w:val="es-ES"/>
        </w:rPr>
        <w:t xml:space="preserve">l 5 de marzo de 2024, </w:t>
      </w:r>
      <w:r w:rsidRPr="00030313">
        <w:rPr>
          <w:rFonts w:ascii="Times New Roman" w:hAnsi="Times New Roman"/>
          <w:sz w:val="28"/>
          <w:szCs w:val="28"/>
          <w:lang w:val="es-ES"/>
        </w:rPr>
        <w:t>una funcionaria de</w:t>
      </w:r>
      <w:r w:rsidRPr="00030313">
        <w:rPr>
          <w:rFonts w:ascii="Times New Roman" w:hAnsi="Times New Roman"/>
          <w:sz w:val="28"/>
          <w:szCs w:val="28"/>
          <w:lang w:val="es-ES"/>
        </w:rPr>
        <w:t xml:space="preserve"> la coordinación del </w:t>
      </w:r>
      <w:r w:rsidRPr="00030313">
        <w:rPr>
          <w:rFonts w:ascii="Times New Roman" w:hAnsi="Times New Roman"/>
          <w:sz w:val="28"/>
          <w:szCs w:val="28"/>
          <w:lang w:val="es-ES"/>
        </w:rPr>
        <w:t>grupo jurídico de</w:t>
      </w:r>
      <w:r w:rsidRPr="00030313">
        <w:rPr>
          <w:rFonts w:ascii="Times New Roman" w:hAnsi="Times New Roman"/>
          <w:sz w:val="28"/>
          <w:szCs w:val="28"/>
          <w:lang w:val="es-ES"/>
        </w:rPr>
        <w:t xml:space="preserve"> la Registraduría Nacional del Estado Civil </w:t>
      </w:r>
      <w:r w:rsidRPr="00030313">
        <w:rPr>
          <w:rFonts w:ascii="Times New Roman" w:hAnsi="Times New Roman"/>
          <w:sz w:val="28"/>
          <w:szCs w:val="28"/>
          <w:lang w:val="es-ES"/>
        </w:rPr>
        <w:t>remitió</w:t>
      </w:r>
      <w:r w:rsidRPr="00030313">
        <w:rPr>
          <w:rFonts w:ascii="Times New Roman" w:hAnsi="Times New Roman"/>
          <w:sz w:val="28"/>
          <w:szCs w:val="28"/>
          <w:lang w:val="es-ES"/>
        </w:rPr>
        <w:t xml:space="preserve"> una respuesta adicional, </w:t>
      </w:r>
      <w:r w:rsidRPr="00030313">
        <w:rPr>
          <w:rFonts w:ascii="Times New Roman" w:hAnsi="Times New Roman"/>
          <w:sz w:val="28"/>
          <w:szCs w:val="28"/>
          <w:lang w:val="es-ES"/>
        </w:rPr>
        <w:t xml:space="preserve">para dar alcance a la contestación que se enviaría al </w:t>
      </w:r>
      <w:r w:rsidRPr="00030313">
        <w:rPr>
          <w:rFonts w:ascii="Times New Roman" w:hAnsi="Times New Roman"/>
          <w:iCs/>
          <w:sz w:val="28"/>
          <w:szCs w:val="28"/>
          <w:lang w:val="es-ES"/>
        </w:rPr>
        <w:t xml:space="preserve">Juzgado </w:t>
      </w:r>
      <w:r w:rsidRPr="00030313">
        <w:rPr>
          <w:rFonts w:ascii="Times New Roman" w:hAnsi="Times New Roman"/>
          <w:iCs/>
          <w:sz w:val="28"/>
          <w:szCs w:val="28"/>
          <w:lang w:val="es-ES"/>
        </w:rPr>
        <w:t>0</w:t>
      </w:r>
      <w:r w:rsidRPr="00030313">
        <w:rPr>
          <w:rFonts w:ascii="Times New Roman" w:hAnsi="Times New Roman"/>
          <w:iCs/>
          <w:sz w:val="28"/>
          <w:szCs w:val="28"/>
          <w:lang w:val="es-ES"/>
        </w:rPr>
        <w:t>15 Administrativo del Circuito Judicial de Bogotá, Sección Segunda</w:t>
      </w:r>
      <w:r w:rsidRPr="00030313">
        <w:rPr>
          <w:rStyle w:val="Refdenotaalpie"/>
          <w:rFonts w:ascii="Times New Roman" w:hAnsi="Times New Roman"/>
          <w:iCs/>
          <w:sz w:val="28"/>
          <w:szCs w:val="28"/>
          <w:lang w:val="es-ES"/>
        </w:rPr>
        <w:footnoteReference w:id="10"/>
      </w:r>
      <w:r w:rsidRPr="00030313">
        <w:rPr>
          <w:rFonts w:ascii="Times New Roman" w:hAnsi="Times New Roman"/>
          <w:iCs/>
          <w:sz w:val="28"/>
          <w:szCs w:val="28"/>
          <w:lang w:val="es-ES"/>
        </w:rPr>
        <w:t>.</w:t>
      </w:r>
      <w:r w:rsidRPr="00030313">
        <w:rPr>
          <w:rFonts w:ascii="Times New Roman" w:hAnsi="Times New Roman"/>
          <w:iCs/>
          <w:sz w:val="28"/>
          <w:szCs w:val="28"/>
          <w:lang w:val="es-ES"/>
        </w:rPr>
        <w:t xml:space="preserve"> </w:t>
      </w:r>
      <w:r w:rsidRPr="00030313">
        <w:rPr>
          <w:rFonts w:ascii="Times New Roman" w:hAnsi="Times New Roman"/>
          <w:iCs/>
          <w:sz w:val="28"/>
          <w:szCs w:val="28"/>
          <w:lang w:val="es-ES"/>
        </w:rPr>
        <w:t>En dicha respuesta, se reiteró</w:t>
      </w:r>
      <w:r w:rsidRPr="00030313">
        <w:rPr>
          <w:rFonts w:ascii="Times New Roman" w:hAnsi="Times New Roman"/>
          <w:iCs/>
          <w:sz w:val="28"/>
          <w:szCs w:val="28"/>
          <w:lang w:val="es-ES"/>
        </w:rPr>
        <w:t xml:space="preserve"> que las bases de datos que produce y administra la Registraduría Nacional del Estado Civil “</w:t>
      </w:r>
      <w:r w:rsidRPr="00030313">
        <w:rPr>
          <w:rFonts w:ascii="Times New Roman" w:hAnsi="Times New Roman"/>
          <w:i/>
          <w:sz w:val="28"/>
          <w:szCs w:val="28"/>
          <w:lang w:val="es-ES"/>
        </w:rPr>
        <w:t xml:space="preserve">no admiten </w:t>
      </w:r>
      <w:r w:rsidRPr="00030313">
        <w:rPr>
          <w:rFonts w:ascii="Times New Roman" w:hAnsi="Times New Roman"/>
          <w:i/>
          <w:sz w:val="28"/>
          <w:szCs w:val="28"/>
          <w:lang w:val="es-ES"/>
        </w:rPr>
        <w:t>la inclusión del marcador NB (No Binario), hasta que el Departamento Nacional de Planeación asigne los recursos necesarios para parametrizar los sistema</w:t>
      </w:r>
      <w:r w:rsidRPr="00030313">
        <w:rPr>
          <w:rFonts w:ascii="Times New Roman" w:hAnsi="Times New Roman"/>
          <w:i/>
          <w:sz w:val="28"/>
          <w:szCs w:val="28"/>
          <w:lang w:val="es-ES"/>
        </w:rPr>
        <w:t>s de Registro Civil e identificación (solicitados desde el pasado 9 de marzo de 2022), hasta tanto este procedimiento se deberá hacer en forma manual”</w:t>
      </w:r>
      <w:r w:rsidRPr="00030313">
        <w:rPr>
          <w:rStyle w:val="Refdenotaalpie"/>
          <w:rFonts w:ascii="Times New Roman" w:hAnsi="Times New Roman"/>
          <w:iCs/>
          <w:sz w:val="28"/>
          <w:szCs w:val="28"/>
          <w:lang w:val="es-ES"/>
        </w:rPr>
        <w:footnoteReference w:id="11"/>
      </w:r>
      <w:r w:rsidRPr="00030313">
        <w:rPr>
          <w:rFonts w:ascii="Times New Roman" w:hAnsi="Times New Roman"/>
          <w:i/>
          <w:sz w:val="28"/>
          <w:szCs w:val="28"/>
          <w:lang w:val="es-ES"/>
        </w:rPr>
        <w:t>.</w:t>
      </w:r>
      <w:r w:rsidRPr="00030313">
        <w:rPr>
          <w:rFonts w:ascii="Times New Roman" w:hAnsi="Times New Roman"/>
          <w:iCs/>
          <w:sz w:val="28"/>
          <w:szCs w:val="28"/>
          <w:lang w:val="es-ES"/>
        </w:rPr>
        <w:t xml:space="preserve"> </w:t>
      </w:r>
    </w:p>
    <w:p w:rsidR="00C36B4C" w:rsidRPr="00030313" w:rsidRDefault="00030313" w:rsidP="00C61937">
      <w:pPr>
        <w:pStyle w:val="Lista"/>
        <w:tabs>
          <w:tab w:val="left" w:pos="0"/>
        </w:tabs>
        <w:spacing w:after="0" w:line="240" w:lineRule="auto"/>
        <w:ind w:left="0" w:firstLine="0"/>
        <w:jc w:val="both"/>
        <w:rPr>
          <w:rFonts w:ascii="Times New Roman" w:hAnsi="Times New Roman"/>
          <w:sz w:val="28"/>
          <w:szCs w:val="28"/>
          <w:lang w:val="es-ES"/>
        </w:rPr>
      </w:pPr>
    </w:p>
    <w:p w:rsidR="00650A2E" w:rsidRPr="00030313" w:rsidRDefault="00030313" w:rsidP="00C61937">
      <w:pPr>
        <w:pStyle w:val="Lista"/>
        <w:numPr>
          <w:ilvl w:val="0"/>
          <w:numId w:val="6"/>
        </w:numPr>
        <w:tabs>
          <w:tab w:val="left" w:pos="0"/>
        </w:tabs>
        <w:spacing w:after="0" w:line="240" w:lineRule="auto"/>
        <w:ind w:left="0" w:firstLine="0"/>
        <w:jc w:val="both"/>
        <w:rPr>
          <w:rFonts w:ascii="Times New Roman" w:hAnsi="Times New Roman"/>
          <w:b/>
          <w:bCs/>
          <w:i/>
          <w:iCs/>
          <w:sz w:val="28"/>
          <w:szCs w:val="28"/>
        </w:rPr>
      </w:pPr>
      <w:r w:rsidRPr="00030313">
        <w:rPr>
          <w:rFonts w:ascii="Times New Roman" w:hAnsi="Times New Roman"/>
          <w:b/>
          <w:bCs/>
          <w:i/>
          <w:iCs/>
          <w:sz w:val="28"/>
          <w:szCs w:val="28"/>
          <w:lang w:val="es-ES"/>
        </w:rPr>
        <w:t>Sentencia de primera instancia</w:t>
      </w:r>
      <w:r w:rsidRPr="00030313">
        <w:rPr>
          <w:rStyle w:val="Refdenotaalpie"/>
          <w:rFonts w:ascii="Times New Roman" w:hAnsi="Times New Roman"/>
          <w:b/>
          <w:bCs/>
          <w:sz w:val="28"/>
          <w:szCs w:val="28"/>
          <w:lang w:val="es-ES"/>
        </w:rPr>
        <w:footnoteReference w:id="12"/>
      </w:r>
      <w:r w:rsidRPr="00030313">
        <w:rPr>
          <w:rFonts w:ascii="Times New Roman" w:hAnsi="Times New Roman"/>
          <w:b/>
          <w:bCs/>
          <w:i/>
          <w:iCs/>
          <w:sz w:val="28"/>
          <w:szCs w:val="28"/>
          <w:lang w:val="es-ES"/>
        </w:rPr>
        <w:t>.</w:t>
      </w:r>
      <w:r w:rsidRPr="00030313">
        <w:rPr>
          <w:rFonts w:ascii="Times New Roman" w:hAnsi="Times New Roman"/>
          <w:sz w:val="28"/>
          <w:szCs w:val="28"/>
          <w:lang w:val="es-ES"/>
        </w:rPr>
        <w:t xml:space="preserve"> </w:t>
      </w:r>
      <w:r w:rsidRPr="00030313">
        <w:rPr>
          <w:rFonts w:ascii="Times New Roman" w:hAnsi="Times New Roman"/>
          <w:sz w:val="28"/>
          <w:szCs w:val="28"/>
          <w:lang w:val="es-ES"/>
        </w:rPr>
        <w:t xml:space="preserve">En sentencia del 8 de marzo de 2024, </w:t>
      </w:r>
      <w:r w:rsidRPr="00030313">
        <w:rPr>
          <w:rFonts w:ascii="Times New Roman" w:hAnsi="Times New Roman"/>
          <w:sz w:val="28"/>
          <w:szCs w:val="28"/>
          <w:lang w:val="es-ES"/>
        </w:rPr>
        <w:t xml:space="preserve">el Juzgado </w:t>
      </w:r>
      <w:r w:rsidRPr="00030313">
        <w:rPr>
          <w:rFonts w:ascii="Times New Roman" w:hAnsi="Times New Roman"/>
          <w:sz w:val="28"/>
          <w:szCs w:val="28"/>
          <w:lang w:val="es-ES"/>
        </w:rPr>
        <w:t>0</w:t>
      </w:r>
      <w:r w:rsidRPr="00030313">
        <w:rPr>
          <w:rFonts w:ascii="Times New Roman" w:hAnsi="Times New Roman"/>
          <w:sz w:val="28"/>
          <w:szCs w:val="28"/>
          <w:lang w:val="es-ES"/>
        </w:rPr>
        <w:t xml:space="preserve">15 Administrativo del Circuito Judicial de Bogotá, Sección Segunda, negó la acción de tutela, al considerar que </w:t>
      </w:r>
      <w:r w:rsidRPr="00030313">
        <w:rPr>
          <w:rFonts w:ascii="Times New Roman" w:hAnsi="Times New Roman"/>
          <w:sz w:val="28"/>
          <w:szCs w:val="28"/>
          <w:lang w:val="es-ES"/>
        </w:rPr>
        <w:t>una diferencia de trato legal o administrativa fundada en la identidad de género es constitucional, si existen poderosas razones objetivas que l</w:t>
      </w:r>
      <w:r w:rsidRPr="00030313">
        <w:rPr>
          <w:rFonts w:ascii="Times New Roman" w:hAnsi="Times New Roman"/>
          <w:sz w:val="28"/>
          <w:szCs w:val="28"/>
          <w:lang w:val="es-ES"/>
        </w:rPr>
        <w:t xml:space="preserve">a justifiquen, situación que, a juicio del </w:t>
      </w:r>
      <w:r w:rsidRPr="00030313">
        <w:rPr>
          <w:rFonts w:ascii="Times New Roman" w:hAnsi="Times New Roman"/>
          <w:i/>
          <w:iCs/>
          <w:sz w:val="28"/>
          <w:szCs w:val="28"/>
          <w:lang w:val="es-ES"/>
        </w:rPr>
        <w:t>a quo</w:t>
      </w:r>
      <w:r w:rsidRPr="00030313">
        <w:rPr>
          <w:rFonts w:ascii="Times New Roman" w:hAnsi="Times New Roman"/>
          <w:sz w:val="28"/>
          <w:szCs w:val="28"/>
          <w:lang w:val="es-ES"/>
        </w:rPr>
        <w:t xml:space="preserve">, </w:t>
      </w:r>
      <w:r w:rsidRPr="00030313">
        <w:rPr>
          <w:rFonts w:ascii="Times New Roman" w:hAnsi="Times New Roman"/>
          <w:sz w:val="28"/>
          <w:szCs w:val="28"/>
          <w:lang w:val="es-ES"/>
        </w:rPr>
        <w:t xml:space="preserve">se configuraron en el caso </w:t>
      </w:r>
      <w:r w:rsidRPr="00030313">
        <w:rPr>
          <w:rFonts w:ascii="Times New Roman" w:hAnsi="Times New Roman"/>
          <w:i/>
          <w:iCs/>
          <w:sz w:val="28"/>
          <w:szCs w:val="28"/>
          <w:lang w:val="es-ES"/>
        </w:rPr>
        <w:t>sub</w:t>
      </w:r>
      <w:r w:rsidRPr="00030313">
        <w:rPr>
          <w:rFonts w:ascii="Times New Roman" w:hAnsi="Times New Roman"/>
          <w:i/>
          <w:iCs/>
          <w:sz w:val="28"/>
          <w:szCs w:val="28"/>
          <w:lang w:val="es-ES"/>
        </w:rPr>
        <w:t xml:space="preserve"> </w:t>
      </w:r>
      <w:r w:rsidRPr="00030313">
        <w:rPr>
          <w:rFonts w:ascii="Times New Roman" w:hAnsi="Times New Roman"/>
          <w:i/>
          <w:iCs/>
          <w:sz w:val="28"/>
          <w:szCs w:val="28"/>
          <w:lang w:val="es-ES"/>
        </w:rPr>
        <w:t>examine</w:t>
      </w:r>
      <w:r w:rsidRPr="00030313">
        <w:rPr>
          <w:rFonts w:ascii="Times New Roman" w:hAnsi="Times New Roman"/>
          <w:sz w:val="28"/>
          <w:szCs w:val="28"/>
          <w:lang w:val="es-ES"/>
        </w:rPr>
        <w:t>. En concreto, debido a que</w:t>
      </w:r>
      <w:r w:rsidRPr="00030313">
        <w:rPr>
          <w:rFonts w:ascii="Times New Roman" w:hAnsi="Times New Roman"/>
          <w:sz w:val="28"/>
          <w:szCs w:val="28"/>
          <w:lang w:val="es-ES"/>
        </w:rPr>
        <w:t xml:space="preserve"> la entidad cuenta con una justificación objetiva, técnica y presupuestal que le impide expedir el documento de identidad digital</w:t>
      </w:r>
      <w:r w:rsidRPr="00030313">
        <w:rPr>
          <w:rFonts w:ascii="Times New Roman" w:hAnsi="Times New Roman"/>
          <w:sz w:val="28"/>
          <w:szCs w:val="28"/>
          <w:lang w:val="es-ES"/>
        </w:rPr>
        <w:t xml:space="preserve"> con el marc</w:t>
      </w:r>
      <w:r w:rsidRPr="00030313">
        <w:rPr>
          <w:rFonts w:ascii="Times New Roman" w:hAnsi="Times New Roman"/>
          <w:sz w:val="28"/>
          <w:szCs w:val="28"/>
          <w:lang w:val="es-ES"/>
        </w:rPr>
        <w:t>ado No Binario</w:t>
      </w:r>
      <w:r w:rsidRPr="00030313">
        <w:rPr>
          <w:rStyle w:val="Refdenotaalpie"/>
          <w:rFonts w:ascii="Times New Roman" w:hAnsi="Times New Roman"/>
          <w:sz w:val="28"/>
          <w:szCs w:val="28"/>
          <w:lang w:val="es-ES"/>
        </w:rPr>
        <w:footnoteReference w:id="13"/>
      </w:r>
      <w:r w:rsidRPr="00030313">
        <w:rPr>
          <w:rFonts w:ascii="Times New Roman" w:hAnsi="Times New Roman"/>
          <w:sz w:val="28"/>
          <w:szCs w:val="28"/>
          <w:lang w:val="es-ES"/>
        </w:rPr>
        <w:t>.</w:t>
      </w:r>
      <w:r w:rsidRPr="00030313">
        <w:rPr>
          <w:rFonts w:ascii="Times New Roman" w:hAnsi="Times New Roman"/>
          <w:sz w:val="28"/>
          <w:szCs w:val="28"/>
          <w:lang w:val="es-ES"/>
        </w:rPr>
        <w:t xml:space="preserve"> </w:t>
      </w:r>
      <w:r w:rsidRPr="00030313">
        <w:rPr>
          <w:rFonts w:ascii="Times New Roman" w:hAnsi="Times New Roman"/>
          <w:sz w:val="28"/>
          <w:szCs w:val="28"/>
          <w:lang w:val="es-ES"/>
        </w:rPr>
        <w:t xml:space="preserve">Asimismo, precisó que, </w:t>
      </w:r>
      <w:r w:rsidRPr="00030313">
        <w:rPr>
          <w:rFonts w:ascii="Times New Roman" w:hAnsi="Times New Roman"/>
          <w:sz w:val="28"/>
          <w:szCs w:val="28"/>
          <w:lang w:val="es-ES"/>
        </w:rPr>
        <w:t xml:space="preserve">de cualquier forma, al consultar el Sistema de Archivo Nacional de Identificación de la Registraduría Nacional, </w:t>
      </w:r>
      <w:r w:rsidRPr="00030313">
        <w:rPr>
          <w:rFonts w:ascii="Times New Roman" w:hAnsi="Times New Roman"/>
          <w:sz w:val="28"/>
          <w:szCs w:val="28"/>
          <w:lang w:val="es-ES"/>
        </w:rPr>
        <w:t>la persona</w:t>
      </w:r>
      <w:r w:rsidRPr="00030313">
        <w:rPr>
          <w:rFonts w:ascii="Times New Roman" w:hAnsi="Times New Roman"/>
          <w:sz w:val="28"/>
          <w:szCs w:val="28"/>
          <w:lang w:val="es-ES"/>
        </w:rPr>
        <w:t xml:space="preserve"> accionante </w:t>
      </w:r>
      <w:r w:rsidRPr="00030313">
        <w:rPr>
          <w:rFonts w:ascii="Times New Roman" w:hAnsi="Times New Roman"/>
          <w:sz w:val="28"/>
          <w:szCs w:val="28"/>
          <w:lang w:val="es-ES"/>
        </w:rPr>
        <w:t xml:space="preserve">se encuentra identificado con el marcador de sexo “No Binario”, así como en su registro civil de nacimiento y en la cédula de ciudadanía amarilla con hologramas, por lo cual </w:t>
      </w:r>
      <w:r w:rsidRPr="00030313">
        <w:rPr>
          <w:rFonts w:ascii="Times New Roman" w:hAnsi="Times New Roman"/>
          <w:sz w:val="28"/>
          <w:szCs w:val="28"/>
          <w:lang w:val="es-ES"/>
        </w:rPr>
        <w:t>consideró que la Registraduría Nacional del Estado Civil no vulneró los derechos f</w:t>
      </w:r>
      <w:r w:rsidRPr="00030313">
        <w:rPr>
          <w:rFonts w:ascii="Times New Roman" w:hAnsi="Times New Roman"/>
          <w:sz w:val="28"/>
          <w:szCs w:val="28"/>
          <w:lang w:val="es-ES"/>
        </w:rPr>
        <w:t>undamentales del actor.</w:t>
      </w:r>
    </w:p>
    <w:p w:rsidR="00650A2E" w:rsidRPr="00030313" w:rsidRDefault="00030313" w:rsidP="00C61937">
      <w:pPr>
        <w:pStyle w:val="Lista"/>
        <w:tabs>
          <w:tab w:val="left" w:pos="0"/>
        </w:tabs>
        <w:spacing w:after="0" w:line="240" w:lineRule="auto"/>
        <w:ind w:left="0" w:firstLine="0"/>
        <w:jc w:val="both"/>
        <w:rPr>
          <w:rFonts w:ascii="Times New Roman" w:hAnsi="Times New Roman"/>
          <w:b/>
          <w:bCs/>
          <w:i/>
          <w:iCs/>
          <w:sz w:val="28"/>
          <w:szCs w:val="28"/>
        </w:rPr>
      </w:pPr>
    </w:p>
    <w:p w:rsidR="00FA3CBD" w:rsidRPr="00030313" w:rsidRDefault="00030313" w:rsidP="00C61937">
      <w:pPr>
        <w:pStyle w:val="Lista"/>
        <w:numPr>
          <w:ilvl w:val="0"/>
          <w:numId w:val="6"/>
        </w:numPr>
        <w:tabs>
          <w:tab w:val="left" w:pos="0"/>
        </w:tabs>
        <w:spacing w:after="0" w:line="240" w:lineRule="auto"/>
        <w:ind w:left="0" w:firstLine="0"/>
        <w:jc w:val="both"/>
        <w:rPr>
          <w:rFonts w:ascii="Times New Roman" w:hAnsi="Times New Roman"/>
          <w:b/>
          <w:bCs/>
          <w:i/>
          <w:iCs/>
          <w:sz w:val="28"/>
          <w:szCs w:val="28"/>
        </w:rPr>
      </w:pPr>
      <w:r w:rsidRPr="00030313">
        <w:rPr>
          <w:rFonts w:ascii="Times New Roman" w:hAnsi="Times New Roman"/>
          <w:sz w:val="28"/>
          <w:szCs w:val="28"/>
          <w:lang w:val="es-ES"/>
        </w:rPr>
        <w:t xml:space="preserve">La sentencia referida no fue </w:t>
      </w:r>
      <w:r w:rsidRPr="00030313">
        <w:rPr>
          <w:rFonts w:ascii="Times New Roman" w:hAnsi="Times New Roman"/>
          <w:sz w:val="28"/>
          <w:szCs w:val="28"/>
          <w:lang w:val="es-ES"/>
        </w:rPr>
        <w:t>recurrida</w:t>
      </w:r>
      <w:r w:rsidRPr="00030313">
        <w:rPr>
          <w:rFonts w:ascii="Times New Roman" w:hAnsi="Times New Roman"/>
          <w:sz w:val="28"/>
          <w:szCs w:val="28"/>
          <w:lang w:val="es-ES"/>
        </w:rPr>
        <w:t xml:space="preserve"> por ninguno de los extremos procesales. </w:t>
      </w:r>
      <w:r w:rsidRPr="00030313">
        <w:rPr>
          <w:rFonts w:ascii="Times New Roman" w:hAnsi="Times New Roman"/>
          <w:sz w:val="28"/>
          <w:szCs w:val="28"/>
          <w:lang w:val="es-ES"/>
        </w:rPr>
        <w:t xml:space="preserve"> </w:t>
      </w:r>
    </w:p>
    <w:p w:rsidR="00C36B4C" w:rsidRPr="00030313" w:rsidRDefault="00030313" w:rsidP="00C61937">
      <w:pPr>
        <w:pStyle w:val="Lista"/>
        <w:tabs>
          <w:tab w:val="left" w:pos="0"/>
        </w:tabs>
        <w:spacing w:after="0" w:line="240" w:lineRule="auto"/>
        <w:ind w:left="0" w:firstLine="0"/>
        <w:jc w:val="both"/>
        <w:rPr>
          <w:rFonts w:ascii="Times New Roman" w:hAnsi="Times New Roman"/>
          <w:b/>
          <w:bCs/>
          <w:i/>
          <w:iCs/>
          <w:sz w:val="28"/>
          <w:szCs w:val="28"/>
          <w:lang w:val="es-ES"/>
        </w:rPr>
      </w:pPr>
    </w:p>
    <w:p w:rsidR="00C36B4C" w:rsidRPr="00030313" w:rsidRDefault="00030313" w:rsidP="00C61937">
      <w:pPr>
        <w:pStyle w:val="Lista"/>
        <w:tabs>
          <w:tab w:val="left" w:pos="0"/>
        </w:tabs>
        <w:spacing w:after="0" w:line="240" w:lineRule="auto"/>
        <w:ind w:left="0" w:firstLine="0"/>
        <w:jc w:val="both"/>
        <w:rPr>
          <w:rFonts w:ascii="Times New Roman" w:hAnsi="Times New Roman"/>
          <w:b/>
          <w:bCs/>
          <w:i/>
          <w:iCs/>
          <w:sz w:val="28"/>
          <w:szCs w:val="28"/>
          <w:lang w:val="es-ES"/>
        </w:rPr>
      </w:pPr>
    </w:p>
    <w:p w:rsidR="00C36B4C" w:rsidRPr="00030313" w:rsidRDefault="00030313" w:rsidP="00C61937">
      <w:pPr>
        <w:pStyle w:val="Ttulo2"/>
        <w:numPr>
          <w:ilvl w:val="1"/>
          <w:numId w:val="5"/>
        </w:numPr>
        <w:rPr>
          <w:rFonts w:ascii="Times New Roman" w:hAnsi="Times New Roman"/>
          <w:sz w:val="28"/>
        </w:rPr>
      </w:pPr>
      <w:bookmarkStart w:id="7" w:name="_Toc183628557"/>
      <w:r w:rsidRPr="00030313">
        <w:rPr>
          <w:rFonts w:ascii="Times New Roman" w:hAnsi="Times New Roman"/>
          <w:sz w:val="28"/>
        </w:rPr>
        <w:t>Actuaciones en sede de revisión</w:t>
      </w:r>
      <w:bookmarkEnd w:id="7"/>
      <w:r w:rsidRPr="00030313">
        <w:rPr>
          <w:rFonts w:ascii="Times New Roman" w:hAnsi="Times New Roman"/>
          <w:sz w:val="28"/>
        </w:rPr>
        <w:t xml:space="preserve"> </w:t>
      </w:r>
    </w:p>
    <w:p w:rsidR="00C36B4C" w:rsidRPr="00030313" w:rsidRDefault="00030313" w:rsidP="00C61937">
      <w:pPr>
        <w:tabs>
          <w:tab w:val="left" w:pos="426"/>
        </w:tabs>
        <w:jc w:val="both"/>
        <w:rPr>
          <w:rFonts w:ascii="Times New Roman" w:hAnsi="Times New Roman"/>
          <w:sz w:val="28"/>
          <w:lang w:eastAsia="es-ES"/>
        </w:rPr>
      </w:pPr>
    </w:p>
    <w:p w:rsidR="00A816EA" w:rsidRPr="00030313" w:rsidRDefault="00030313" w:rsidP="00C61937">
      <w:pPr>
        <w:pStyle w:val="Lista"/>
        <w:numPr>
          <w:ilvl w:val="0"/>
          <w:numId w:val="6"/>
        </w:numPr>
        <w:tabs>
          <w:tab w:val="left" w:pos="0"/>
        </w:tabs>
        <w:spacing w:after="0" w:line="240" w:lineRule="auto"/>
        <w:ind w:left="0" w:firstLine="0"/>
        <w:jc w:val="both"/>
        <w:rPr>
          <w:rFonts w:ascii="Times New Roman" w:hAnsi="Times New Roman"/>
          <w:b/>
          <w:bCs/>
          <w:i/>
          <w:iCs/>
          <w:sz w:val="28"/>
          <w:szCs w:val="28"/>
          <w:lang w:val="es-ES"/>
        </w:rPr>
      </w:pPr>
      <w:r w:rsidRPr="00030313">
        <w:rPr>
          <w:rFonts w:ascii="Times New Roman" w:hAnsi="Times New Roman"/>
          <w:sz w:val="28"/>
          <w:szCs w:val="28"/>
          <w:lang w:val="es-ES"/>
        </w:rPr>
        <w:t xml:space="preserve">Una vez revisado el expediente, </w:t>
      </w:r>
      <w:r w:rsidRPr="00030313">
        <w:rPr>
          <w:rFonts w:ascii="Times New Roman" w:hAnsi="Times New Roman"/>
          <w:sz w:val="28"/>
          <w:szCs w:val="28"/>
          <w:lang w:val="es-ES"/>
        </w:rPr>
        <w:t>se decretaron</w:t>
      </w:r>
      <w:r w:rsidRPr="00030313">
        <w:rPr>
          <w:rFonts w:ascii="Times New Roman" w:hAnsi="Times New Roman"/>
          <w:sz w:val="28"/>
          <w:szCs w:val="28"/>
          <w:lang w:val="es-ES"/>
        </w:rPr>
        <w:t xml:space="preserve"> pruebas con el fin de contar con mayores elementos de juicio que permitieran resolver la cuestión, por lo que en Auto del </w:t>
      </w:r>
      <w:r w:rsidRPr="00030313">
        <w:rPr>
          <w:rFonts w:ascii="Times New Roman" w:hAnsi="Times New Roman"/>
          <w:sz w:val="28"/>
          <w:szCs w:val="28"/>
          <w:lang w:val="es-ES"/>
        </w:rPr>
        <w:t>2</w:t>
      </w:r>
      <w:r w:rsidRPr="00030313">
        <w:rPr>
          <w:rFonts w:ascii="Times New Roman" w:hAnsi="Times New Roman"/>
          <w:sz w:val="28"/>
          <w:szCs w:val="28"/>
          <w:lang w:val="es-ES"/>
        </w:rPr>
        <w:t>8</w:t>
      </w:r>
      <w:r w:rsidRPr="00030313">
        <w:rPr>
          <w:rFonts w:ascii="Times New Roman" w:hAnsi="Times New Roman"/>
          <w:sz w:val="28"/>
          <w:szCs w:val="28"/>
          <w:lang w:val="es-ES"/>
        </w:rPr>
        <w:t xml:space="preserve"> de junio de 2024 se solicitó la siguiente información </w:t>
      </w:r>
      <w:r w:rsidRPr="00030313">
        <w:rPr>
          <w:rFonts w:ascii="Times New Roman" w:hAnsi="Times New Roman"/>
          <w:sz w:val="28"/>
          <w:szCs w:val="28"/>
          <w:lang w:val="es-ES"/>
        </w:rPr>
        <w:t>a la Registraduría Nacional del Estado Civil</w:t>
      </w:r>
      <w:r w:rsidRPr="00030313">
        <w:rPr>
          <w:rStyle w:val="Refdenotaalpie"/>
          <w:rFonts w:ascii="Times New Roman" w:hAnsi="Times New Roman"/>
          <w:sz w:val="28"/>
          <w:szCs w:val="28"/>
          <w:lang w:val="es-ES"/>
        </w:rPr>
        <w:footnoteReference w:id="14"/>
      </w:r>
      <w:r w:rsidRPr="00030313">
        <w:rPr>
          <w:rFonts w:ascii="Times New Roman" w:hAnsi="Times New Roman"/>
          <w:sz w:val="28"/>
          <w:szCs w:val="28"/>
          <w:lang w:val="es-ES"/>
        </w:rPr>
        <w:t>:</w:t>
      </w:r>
    </w:p>
    <w:p w:rsidR="002C3571" w:rsidRPr="00030313" w:rsidRDefault="00030313" w:rsidP="00C61937">
      <w:pPr>
        <w:pStyle w:val="Lista"/>
        <w:tabs>
          <w:tab w:val="left" w:pos="0"/>
        </w:tabs>
        <w:spacing w:after="0" w:line="240" w:lineRule="auto"/>
        <w:jc w:val="both"/>
        <w:rPr>
          <w:rFonts w:ascii="Times New Roman" w:hAnsi="Times New Roman"/>
          <w:sz w:val="28"/>
          <w:szCs w:val="28"/>
          <w:lang w:val="es-ES"/>
        </w:rPr>
      </w:pPr>
    </w:p>
    <w:p w:rsidR="00CD4022" w:rsidRPr="00030313" w:rsidRDefault="00030313" w:rsidP="00C61937">
      <w:pPr>
        <w:pStyle w:val="Prrafodelista"/>
        <w:numPr>
          <w:ilvl w:val="0"/>
          <w:numId w:val="7"/>
        </w:numPr>
        <w:ind w:left="284" w:right="192" w:firstLine="0"/>
        <w:jc w:val="both"/>
        <w:rPr>
          <w:rFonts w:ascii="Times New Roman" w:hAnsi="Times New Roman"/>
          <w:i/>
          <w:iCs/>
          <w:sz w:val="28"/>
        </w:rPr>
      </w:pPr>
      <w:r w:rsidRPr="00030313">
        <w:rPr>
          <w:rFonts w:ascii="Times New Roman" w:hAnsi="Times New Roman"/>
          <w:i/>
          <w:iCs/>
          <w:sz w:val="28"/>
        </w:rPr>
        <w:t xml:space="preserve">¿A la fecha, la cédula de </w:t>
      </w:r>
      <w:r w:rsidRPr="00030313">
        <w:rPr>
          <w:rFonts w:ascii="Times New Roman" w:hAnsi="Times New Roman"/>
          <w:i/>
          <w:iCs/>
          <w:sz w:val="28"/>
        </w:rPr>
        <w:t>ciudadanía digital es esencial para el acceso a la oferta de servicios públicos del Estado? ¿Cuál es su actual relevancia jurídica y hacia futuro qué se pretende con este medio de identificación de la población?</w:t>
      </w:r>
    </w:p>
    <w:p w:rsidR="00CD4022" w:rsidRPr="00030313" w:rsidRDefault="00030313" w:rsidP="00C61937">
      <w:pPr>
        <w:pStyle w:val="Prrafodelista"/>
        <w:ind w:left="284" w:right="192"/>
        <w:jc w:val="both"/>
        <w:rPr>
          <w:rFonts w:ascii="Times New Roman" w:hAnsi="Times New Roman"/>
          <w:i/>
          <w:iCs/>
          <w:sz w:val="28"/>
        </w:rPr>
      </w:pPr>
    </w:p>
    <w:p w:rsidR="00CD4022" w:rsidRPr="00030313" w:rsidRDefault="00030313" w:rsidP="00C61937">
      <w:pPr>
        <w:pStyle w:val="Prrafodelista"/>
        <w:numPr>
          <w:ilvl w:val="0"/>
          <w:numId w:val="7"/>
        </w:numPr>
        <w:ind w:left="284" w:right="192" w:firstLine="0"/>
        <w:jc w:val="both"/>
        <w:rPr>
          <w:rFonts w:ascii="Times New Roman" w:hAnsi="Times New Roman"/>
          <w:i/>
          <w:iCs/>
          <w:sz w:val="28"/>
        </w:rPr>
      </w:pPr>
      <w:r w:rsidRPr="00030313">
        <w:rPr>
          <w:rFonts w:ascii="Times New Roman" w:hAnsi="Times New Roman"/>
          <w:i/>
          <w:iCs/>
          <w:sz w:val="28"/>
        </w:rPr>
        <w:t>Si en la cédula digital no se cuenta con la</w:t>
      </w:r>
      <w:r w:rsidRPr="00030313">
        <w:rPr>
          <w:rFonts w:ascii="Times New Roman" w:hAnsi="Times New Roman"/>
          <w:i/>
          <w:iCs/>
          <w:sz w:val="28"/>
        </w:rPr>
        <w:t xml:space="preserve"> posibilidad de identificación sexo no binario, ¿cuál ha sido el impacto de la expedición de la cédula de ciudadanía digital para estas personas respecto del acceso de bienes y servicios del Estado con esta nueva modalidad de identificación? </w:t>
      </w:r>
    </w:p>
    <w:p w:rsidR="00CD4022" w:rsidRPr="00030313" w:rsidRDefault="00030313" w:rsidP="00C61937">
      <w:pPr>
        <w:pStyle w:val="Prrafodelista"/>
        <w:ind w:left="284" w:right="192"/>
        <w:jc w:val="both"/>
        <w:rPr>
          <w:rFonts w:ascii="Times New Roman" w:hAnsi="Times New Roman"/>
          <w:i/>
          <w:iCs/>
          <w:sz w:val="28"/>
        </w:rPr>
      </w:pPr>
    </w:p>
    <w:p w:rsidR="00CD4022" w:rsidRPr="00030313" w:rsidRDefault="00030313" w:rsidP="00C61937">
      <w:pPr>
        <w:pStyle w:val="Prrafodelista"/>
        <w:numPr>
          <w:ilvl w:val="0"/>
          <w:numId w:val="7"/>
        </w:numPr>
        <w:ind w:left="284" w:right="192" w:firstLine="0"/>
        <w:jc w:val="both"/>
        <w:rPr>
          <w:rFonts w:ascii="Times New Roman" w:hAnsi="Times New Roman"/>
          <w:i/>
          <w:iCs/>
          <w:sz w:val="28"/>
        </w:rPr>
      </w:pPr>
      <w:r w:rsidRPr="00030313">
        <w:rPr>
          <w:rFonts w:ascii="Times New Roman" w:hAnsi="Times New Roman"/>
          <w:i/>
          <w:iCs/>
          <w:sz w:val="28"/>
        </w:rPr>
        <w:t>Indique cuál</w:t>
      </w:r>
      <w:r w:rsidRPr="00030313">
        <w:rPr>
          <w:rFonts w:ascii="Times New Roman" w:hAnsi="Times New Roman"/>
          <w:i/>
          <w:iCs/>
          <w:sz w:val="28"/>
        </w:rPr>
        <w:t xml:space="preserve"> es el número de trámites represados por parte de la Registraduría Nacional del Estado Civil respecto de las solicitudes ciudadanas relacionadas con el cambio de la marcación de identificación de sexo de femenino o masculino a “No Binario” en lo relativo a</w:t>
      </w:r>
      <w:r w:rsidRPr="00030313">
        <w:rPr>
          <w:rFonts w:ascii="Times New Roman" w:hAnsi="Times New Roman"/>
          <w:i/>
          <w:iCs/>
          <w:sz w:val="28"/>
        </w:rPr>
        <w:t xml:space="preserve"> la cédula digital. De presentarse este represamiento, explique cuáles son las razones para la dilación en la solución de fondo de tales solicitudes.</w:t>
      </w:r>
    </w:p>
    <w:p w:rsidR="00CD4022" w:rsidRPr="00030313" w:rsidRDefault="00030313" w:rsidP="00C61937">
      <w:pPr>
        <w:pStyle w:val="Prrafodelista"/>
        <w:ind w:left="284" w:right="192"/>
        <w:jc w:val="both"/>
        <w:rPr>
          <w:rFonts w:ascii="Times New Roman" w:hAnsi="Times New Roman"/>
          <w:i/>
          <w:iCs/>
          <w:sz w:val="28"/>
        </w:rPr>
      </w:pPr>
    </w:p>
    <w:p w:rsidR="00CD4022" w:rsidRPr="00030313" w:rsidRDefault="00030313" w:rsidP="00C61937">
      <w:pPr>
        <w:pStyle w:val="Prrafodelista"/>
        <w:numPr>
          <w:ilvl w:val="0"/>
          <w:numId w:val="7"/>
        </w:numPr>
        <w:ind w:left="284" w:right="192" w:firstLine="0"/>
        <w:jc w:val="both"/>
        <w:rPr>
          <w:rFonts w:ascii="Times New Roman" w:hAnsi="Times New Roman"/>
          <w:i/>
          <w:iCs/>
          <w:sz w:val="28"/>
        </w:rPr>
      </w:pPr>
      <w:r w:rsidRPr="00030313">
        <w:rPr>
          <w:rFonts w:ascii="Times New Roman" w:hAnsi="Times New Roman"/>
          <w:i/>
          <w:iCs/>
          <w:sz w:val="28"/>
        </w:rPr>
        <w:t>En la Sentencia T-033 de 2022, la Corte Constitucional exhortó a la Registraduría Nacional del Estado Civ</w:t>
      </w:r>
      <w:r w:rsidRPr="00030313">
        <w:rPr>
          <w:rFonts w:ascii="Times New Roman" w:hAnsi="Times New Roman"/>
          <w:i/>
          <w:iCs/>
          <w:sz w:val="28"/>
        </w:rPr>
        <w:t>il a que disponga de lo necesario para poner en marc</w:t>
      </w:r>
      <w:r w:rsidRPr="00030313">
        <w:rPr>
          <w:rFonts w:ascii="Times New Roman" w:hAnsi="Times New Roman"/>
          <w:i/>
          <w:iCs/>
          <w:sz w:val="28"/>
        </w:rPr>
        <w:t>h</w:t>
      </w:r>
      <w:r w:rsidRPr="00030313">
        <w:rPr>
          <w:rFonts w:ascii="Times New Roman" w:hAnsi="Times New Roman"/>
          <w:i/>
          <w:iCs/>
          <w:sz w:val="28"/>
        </w:rPr>
        <w:t>a el esquema de identificación de la marcación “No Binario” entre las categorías de sexo en el esquema de identificación ciudadana.</w:t>
      </w:r>
      <w:r w:rsidRPr="00030313">
        <w:rPr>
          <w:rStyle w:val="Refdenotaalpie"/>
          <w:rFonts w:ascii="Times New Roman" w:hAnsi="Times New Roman"/>
          <w:i/>
          <w:iCs/>
          <w:sz w:val="28"/>
        </w:rPr>
        <w:footnoteReference w:id="15"/>
      </w:r>
      <w:r w:rsidRPr="00030313">
        <w:rPr>
          <w:rFonts w:ascii="Times New Roman" w:hAnsi="Times New Roman"/>
          <w:i/>
          <w:iCs/>
          <w:sz w:val="28"/>
        </w:rPr>
        <w:t xml:space="preserve"> Explique qué actuaciones se han adelantado con fundamento en dicha pro</w:t>
      </w:r>
      <w:r w:rsidRPr="00030313">
        <w:rPr>
          <w:rFonts w:ascii="Times New Roman" w:hAnsi="Times New Roman"/>
          <w:i/>
          <w:iCs/>
          <w:sz w:val="28"/>
        </w:rPr>
        <w:t xml:space="preserve">videncia y cuál es el estado de avance para lograr la marcación No Binario entre las categorías de sexo de la cédula digital. </w:t>
      </w:r>
    </w:p>
    <w:p w:rsidR="00CD4022" w:rsidRPr="00030313" w:rsidRDefault="00030313" w:rsidP="00C61937">
      <w:pPr>
        <w:pStyle w:val="Prrafodelista"/>
        <w:ind w:left="284" w:right="192"/>
        <w:jc w:val="both"/>
        <w:rPr>
          <w:rFonts w:ascii="Times New Roman" w:hAnsi="Times New Roman"/>
          <w:i/>
          <w:iCs/>
          <w:sz w:val="28"/>
        </w:rPr>
      </w:pPr>
    </w:p>
    <w:p w:rsidR="00CD4022" w:rsidRPr="00030313" w:rsidRDefault="00030313" w:rsidP="00C61937">
      <w:pPr>
        <w:pStyle w:val="Prrafodelista"/>
        <w:numPr>
          <w:ilvl w:val="0"/>
          <w:numId w:val="7"/>
        </w:numPr>
        <w:ind w:left="284" w:right="192" w:firstLine="0"/>
        <w:jc w:val="both"/>
        <w:rPr>
          <w:rFonts w:ascii="Times New Roman" w:hAnsi="Times New Roman"/>
          <w:i/>
          <w:iCs/>
          <w:sz w:val="28"/>
        </w:rPr>
      </w:pPr>
      <w:r w:rsidRPr="00030313">
        <w:rPr>
          <w:rFonts w:ascii="Times New Roman" w:hAnsi="Times New Roman"/>
          <w:i/>
          <w:iCs/>
          <w:sz w:val="28"/>
        </w:rPr>
        <w:t>¿Para adelantar el cumplimiento de la Sentencia T-033 de 2022 se ha trabajado de manera conjunta con alguna autoridad del Gobier</w:t>
      </w:r>
      <w:r w:rsidRPr="00030313">
        <w:rPr>
          <w:rFonts w:ascii="Times New Roman" w:hAnsi="Times New Roman"/>
          <w:i/>
          <w:iCs/>
          <w:sz w:val="28"/>
        </w:rPr>
        <w:t xml:space="preserve">no Nacional? </w:t>
      </w:r>
    </w:p>
    <w:p w:rsidR="00CD4022" w:rsidRPr="00030313" w:rsidRDefault="00030313" w:rsidP="00C61937">
      <w:pPr>
        <w:pStyle w:val="Prrafodelista"/>
        <w:ind w:left="284" w:right="192"/>
        <w:jc w:val="both"/>
        <w:rPr>
          <w:rFonts w:ascii="Times New Roman" w:hAnsi="Times New Roman"/>
          <w:i/>
          <w:iCs/>
          <w:sz w:val="28"/>
        </w:rPr>
      </w:pPr>
    </w:p>
    <w:p w:rsidR="002C3571" w:rsidRPr="00030313" w:rsidRDefault="00030313" w:rsidP="00C61937">
      <w:pPr>
        <w:pStyle w:val="Prrafodelista"/>
        <w:numPr>
          <w:ilvl w:val="0"/>
          <w:numId w:val="7"/>
        </w:numPr>
        <w:ind w:left="284" w:right="192" w:firstLine="0"/>
        <w:jc w:val="both"/>
        <w:rPr>
          <w:rFonts w:ascii="Times New Roman" w:hAnsi="Times New Roman"/>
          <w:i/>
          <w:iCs/>
          <w:sz w:val="28"/>
        </w:rPr>
      </w:pPr>
      <w:r w:rsidRPr="00030313">
        <w:rPr>
          <w:rFonts w:ascii="Times New Roman" w:hAnsi="Times New Roman"/>
          <w:i/>
          <w:iCs/>
          <w:sz w:val="28"/>
        </w:rPr>
        <w:t>¿Cuál es el estado actual del trámite de cambio de marcación de sexo a “No Binario” para el caso de</w:t>
      </w:r>
      <w:r w:rsidRPr="00030313">
        <w:rPr>
          <w:rFonts w:ascii="Times New Roman" w:hAnsi="Times New Roman"/>
          <w:i/>
          <w:iCs/>
          <w:sz w:val="28"/>
        </w:rPr>
        <w:t xml:space="preserve"> </w:t>
      </w:r>
      <w:r w:rsidRPr="00030313">
        <w:rPr>
          <w:rFonts w:ascii="Times New Roman" w:hAnsi="Times New Roman"/>
          <w:i/>
          <w:iCs/>
          <w:sz w:val="28"/>
        </w:rPr>
        <w:t>Sergio</w:t>
      </w:r>
      <w:r w:rsidRPr="00030313">
        <w:rPr>
          <w:rFonts w:ascii="Times New Roman" w:hAnsi="Times New Roman"/>
          <w:i/>
          <w:iCs/>
          <w:sz w:val="28"/>
        </w:rPr>
        <w:t>?</w:t>
      </w:r>
    </w:p>
    <w:p w:rsidR="00A816EA" w:rsidRPr="00030313" w:rsidRDefault="00030313" w:rsidP="00C61937">
      <w:pPr>
        <w:pStyle w:val="Lista"/>
        <w:tabs>
          <w:tab w:val="left" w:pos="0"/>
        </w:tabs>
        <w:spacing w:after="0" w:line="240" w:lineRule="auto"/>
        <w:ind w:left="0" w:firstLine="0"/>
        <w:jc w:val="both"/>
        <w:rPr>
          <w:rFonts w:ascii="Times New Roman" w:hAnsi="Times New Roman"/>
          <w:b/>
          <w:bCs/>
          <w:i/>
          <w:iCs/>
          <w:sz w:val="28"/>
          <w:szCs w:val="28"/>
          <w:lang w:val="es-ES"/>
        </w:rPr>
      </w:pPr>
    </w:p>
    <w:p w:rsidR="00C36B4C" w:rsidRPr="00030313" w:rsidRDefault="00030313" w:rsidP="00C61937">
      <w:pPr>
        <w:pStyle w:val="Lista"/>
        <w:numPr>
          <w:ilvl w:val="0"/>
          <w:numId w:val="6"/>
        </w:numPr>
        <w:tabs>
          <w:tab w:val="left" w:pos="0"/>
        </w:tabs>
        <w:spacing w:after="0" w:line="240" w:lineRule="auto"/>
        <w:ind w:left="0" w:firstLine="0"/>
        <w:jc w:val="both"/>
        <w:rPr>
          <w:rFonts w:ascii="Times New Roman" w:hAnsi="Times New Roman"/>
          <w:b/>
          <w:bCs/>
          <w:i/>
          <w:iCs/>
          <w:sz w:val="28"/>
          <w:szCs w:val="28"/>
          <w:lang w:val="es-ES"/>
        </w:rPr>
      </w:pPr>
      <w:r w:rsidRPr="00030313">
        <w:rPr>
          <w:rFonts w:ascii="Times New Roman" w:hAnsi="Times New Roman"/>
          <w:sz w:val="28"/>
          <w:szCs w:val="28"/>
          <w:lang w:val="es-ES"/>
        </w:rPr>
        <w:t>Adicionalmente, mediante el mismo Auto se solicitó</w:t>
      </w:r>
      <w:r w:rsidRPr="00030313">
        <w:rPr>
          <w:rFonts w:ascii="Times New Roman" w:hAnsi="Times New Roman"/>
          <w:sz w:val="28"/>
          <w:szCs w:val="28"/>
          <w:lang w:val="es-ES"/>
        </w:rPr>
        <w:t xml:space="preserve"> oficiar a </w:t>
      </w:r>
      <w:r w:rsidRPr="00030313">
        <w:rPr>
          <w:rFonts w:ascii="Times New Roman" w:hAnsi="Times New Roman"/>
          <w:i/>
          <w:iCs/>
          <w:sz w:val="28"/>
          <w:szCs w:val="28"/>
          <w:lang w:val="es-ES"/>
        </w:rPr>
        <w:t xml:space="preserve">Sergio </w:t>
      </w:r>
      <w:r w:rsidRPr="00030313">
        <w:rPr>
          <w:rFonts w:ascii="Times New Roman" w:hAnsi="Times New Roman"/>
          <w:sz w:val="28"/>
          <w:szCs w:val="28"/>
          <w:lang w:val="es-ES"/>
        </w:rPr>
        <w:t>para que remitiera cualquier tipo de información relevante, y</w:t>
      </w:r>
      <w:r w:rsidRPr="00030313">
        <w:rPr>
          <w:rFonts w:ascii="Times New Roman" w:hAnsi="Times New Roman"/>
          <w:sz w:val="28"/>
          <w:szCs w:val="28"/>
          <w:lang w:val="es-ES"/>
        </w:rPr>
        <w:t xml:space="preserve"> </w:t>
      </w:r>
      <w:r w:rsidRPr="00030313">
        <w:rPr>
          <w:rFonts w:ascii="Times New Roman" w:hAnsi="Times New Roman"/>
          <w:sz w:val="28"/>
          <w:szCs w:val="28"/>
          <w:lang w:val="es-ES"/>
        </w:rPr>
        <w:t xml:space="preserve">a la Mesa Directiva del Congreso de la República, en cabeza del Presidente del Senado, que </w:t>
      </w:r>
      <w:r w:rsidRPr="00030313">
        <w:rPr>
          <w:rFonts w:ascii="Times New Roman" w:hAnsi="Times New Roman"/>
          <w:sz w:val="28"/>
          <w:szCs w:val="28"/>
          <w:lang w:val="es-ES"/>
        </w:rPr>
        <w:t>rindiera a esta Corporación la siguiente información</w:t>
      </w:r>
      <w:r w:rsidRPr="00030313">
        <w:rPr>
          <w:rStyle w:val="Refdenotaalpie"/>
          <w:rFonts w:ascii="Times New Roman" w:hAnsi="Times New Roman"/>
          <w:sz w:val="28"/>
          <w:szCs w:val="28"/>
          <w:lang w:val="es-ES"/>
        </w:rPr>
        <w:footnoteReference w:id="16"/>
      </w:r>
      <w:r w:rsidRPr="00030313">
        <w:rPr>
          <w:rFonts w:ascii="Times New Roman" w:hAnsi="Times New Roman"/>
          <w:sz w:val="28"/>
          <w:szCs w:val="28"/>
          <w:lang w:val="es-ES"/>
        </w:rPr>
        <w:t>:</w:t>
      </w:r>
    </w:p>
    <w:p w:rsidR="00DA2DB1" w:rsidRPr="00030313" w:rsidRDefault="00030313" w:rsidP="00C61937">
      <w:pPr>
        <w:pStyle w:val="Lista"/>
        <w:tabs>
          <w:tab w:val="left" w:pos="0"/>
        </w:tabs>
        <w:spacing w:after="0" w:line="240" w:lineRule="auto"/>
        <w:ind w:left="0" w:firstLine="0"/>
        <w:jc w:val="both"/>
        <w:rPr>
          <w:rFonts w:ascii="Times New Roman" w:hAnsi="Times New Roman"/>
          <w:sz w:val="28"/>
          <w:szCs w:val="28"/>
          <w:lang w:val="es-ES"/>
        </w:rPr>
      </w:pPr>
    </w:p>
    <w:p w:rsidR="00C81BEE" w:rsidRPr="00030313" w:rsidRDefault="00030313" w:rsidP="00C61937">
      <w:pPr>
        <w:pStyle w:val="Lista"/>
        <w:tabs>
          <w:tab w:val="left" w:pos="709"/>
        </w:tabs>
        <w:spacing w:after="0" w:line="240" w:lineRule="auto"/>
        <w:ind w:left="284" w:right="192" w:firstLine="0"/>
        <w:jc w:val="both"/>
        <w:rPr>
          <w:rFonts w:ascii="Times New Roman" w:hAnsi="Times New Roman"/>
          <w:i/>
          <w:iCs/>
          <w:sz w:val="28"/>
          <w:szCs w:val="28"/>
          <w:lang w:val="es-ES"/>
        </w:rPr>
      </w:pPr>
      <w:r w:rsidRPr="00030313">
        <w:rPr>
          <w:rFonts w:ascii="Times New Roman" w:hAnsi="Times New Roman"/>
          <w:i/>
          <w:iCs/>
          <w:sz w:val="28"/>
          <w:szCs w:val="28"/>
          <w:lang w:val="es-ES"/>
        </w:rPr>
        <w:t xml:space="preserve">(i) [D]esde 2022 hasta el primer semestre de 2024, </w:t>
      </w:r>
      <w:r w:rsidRPr="00030313">
        <w:rPr>
          <w:rFonts w:ascii="Times New Roman" w:hAnsi="Times New Roman"/>
          <w:i/>
          <w:iCs/>
          <w:sz w:val="28"/>
          <w:szCs w:val="28"/>
          <w:lang w:val="es-ES"/>
        </w:rPr>
        <w:t>¿</w:t>
      </w:r>
      <w:r w:rsidRPr="00030313">
        <w:rPr>
          <w:rFonts w:ascii="Times New Roman" w:hAnsi="Times New Roman"/>
          <w:i/>
          <w:iCs/>
          <w:sz w:val="28"/>
          <w:szCs w:val="28"/>
          <w:lang w:val="es-ES"/>
        </w:rPr>
        <w:t xml:space="preserve">cuántos proyectos de ley han sido presentados ante cualquiera de las dos cámaras con el fin de promover </w:t>
      </w:r>
      <w:r w:rsidRPr="00030313">
        <w:rPr>
          <w:rFonts w:ascii="Times New Roman" w:hAnsi="Times New Roman"/>
          <w:i/>
          <w:iCs/>
          <w:sz w:val="28"/>
          <w:szCs w:val="28"/>
          <w:lang w:val="es-ES"/>
        </w:rPr>
        <w:t>una política inclusiva de las personas que se identifican como no binarias respecto de la inclusión de la marcación de identificación del sexo no binari</w:t>
      </w:r>
      <w:r w:rsidRPr="00030313">
        <w:rPr>
          <w:rFonts w:ascii="Times New Roman" w:hAnsi="Times New Roman"/>
          <w:i/>
          <w:iCs/>
          <w:sz w:val="28"/>
          <w:szCs w:val="28"/>
          <w:lang w:val="es-ES"/>
        </w:rPr>
        <w:t>o?</w:t>
      </w:r>
    </w:p>
    <w:p w:rsidR="00C81BEE" w:rsidRPr="00030313" w:rsidRDefault="00030313" w:rsidP="00C61937">
      <w:pPr>
        <w:pStyle w:val="Lista"/>
        <w:tabs>
          <w:tab w:val="left" w:pos="709"/>
        </w:tabs>
        <w:spacing w:after="0" w:line="240" w:lineRule="auto"/>
        <w:ind w:left="284" w:right="192" w:firstLine="0"/>
        <w:jc w:val="both"/>
        <w:rPr>
          <w:rFonts w:ascii="Times New Roman" w:hAnsi="Times New Roman"/>
          <w:i/>
          <w:iCs/>
          <w:sz w:val="28"/>
          <w:szCs w:val="28"/>
          <w:lang w:val="es-ES"/>
        </w:rPr>
      </w:pPr>
    </w:p>
    <w:p w:rsidR="00C81BEE" w:rsidRPr="00030313" w:rsidRDefault="00030313" w:rsidP="00C61937">
      <w:pPr>
        <w:pStyle w:val="Lista"/>
        <w:tabs>
          <w:tab w:val="left" w:pos="709"/>
        </w:tabs>
        <w:spacing w:after="0" w:line="240" w:lineRule="auto"/>
        <w:ind w:left="284" w:right="192" w:firstLine="0"/>
        <w:jc w:val="both"/>
        <w:rPr>
          <w:rFonts w:ascii="Times New Roman" w:hAnsi="Times New Roman"/>
          <w:i/>
          <w:iCs/>
          <w:sz w:val="28"/>
          <w:szCs w:val="28"/>
          <w:lang w:val="es-ES"/>
        </w:rPr>
      </w:pPr>
      <w:r w:rsidRPr="00030313">
        <w:rPr>
          <w:rFonts w:ascii="Times New Roman" w:hAnsi="Times New Roman"/>
          <w:i/>
          <w:iCs/>
          <w:sz w:val="28"/>
          <w:szCs w:val="28"/>
          <w:lang w:val="es-ES"/>
        </w:rPr>
        <w:t xml:space="preserve">(ii) [C]uál es el estado actual de </w:t>
      </w:r>
      <w:r w:rsidRPr="00030313">
        <w:rPr>
          <w:rFonts w:ascii="Times New Roman" w:hAnsi="Times New Roman"/>
          <w:i/>
          <w:iCs/>
          <w:sz w:val="28"/>
          <w:szCs w:val="28"/>
          <w:lang w:val="es-ES"/>
        </w:rPr>
        <w:t xml:space="preserve">debate </w:t>
      </w:r>
      <w:r w:rsidRPr="00030313">
        <w:rPr>
          <w:rFonts w:ascii="Times New Roman" w:hAnsi="Times New Roman"/>
          <w:i/>
          <w:iCs/>
          <w:sz w:val="28"/>
          <w:szCs w:val="28"/>
          <w:lang w:val="es-ES"/>
        </w:rPr>
        <w:t>de dichos proyectos de ley, si es que los hay.</w:t>
      </w:r>
    </w:p>
    <w:p w:rsidR="000C0A7C" w:rsidRPr="00030313" w:rsidRDefault="00030313" w:rsidP="00C61937">
      <w:pPr>
        <w:pStyle w:val="Lista"/>
        <w:tabs>
          <w:tab w:val="left" w:pos="709"/>
        </w:tabs>
        <w:spacing w:after="0" w:line="240" w:lineRule="auto"/>
        <w:ind w:left="284" w:right="192" w:firstLine="0"/>
        <w:jc w:val="both"/>
        <w:rPr>
          <w:rFonts w:ascii="Times New Roman" w:hAnsi="Times New Roman"/>
          <w:i/>
          <w:iCs/>
          <w:sz w:val="28"/>
          <w:szCs w:val="28"/>
          <w:lang w:val="es-ES"/>
        </w:rPr>
      </w:pPr>
    </w:p>
    <w:p w:rsidR="00C36B4C" w:rsidRPr="00030313" w:rsidRDefault="00030313" w:rsidP="00C61937">
      <w:pPr>
        <w:pStyle w:val="Lista"/>
        <w:tabs>
          <w:tab w:val="left" w:pos="709"/>
        </w:tabs>
        <w:spacing w:after="0" w:line="240" w:lineRule="auto"/>
        <w:ind w:left="284" w:right="192" w:firstLine="0"/>
        <w:jc w:val="both"/>
        <w:rPr>
          <w:rFonts w:ascii="Times New Roman" w:hAnsi="Times New Roman"/>
          <w:i/>
          <w:iCs/>
          <w:sz w:val="28"/>
          <w:szCs w:val="28"/>
          <w:lang w:val="es-ES"/>
        </w:rPr>
      </w:pPr>
      <w:r w:rsidRPr="00030313">
        <w:rPr>
          <w:rFonts w:ascii="Times New Roman" w:hAnsi="Times New Roman"/>
          <w:i/>
          <w:iCs/>
          <w:sz w:val="28"/>
          <w:szCs w:val="28"/>
          <w:lang w:val="es-ES"/>
        </w:rPr>
        <w:t xml:space="preserve">(iii) </w:t>
      </w:r>
      <w:r w:rsidRPr="00030313">
        <w:rPr>
          <w:rFonts w:ascii="Times New Roman" w:hAnsi="Times New Roman"/>
          <w:i/>
          <w:iCs/>
          <w:sz w:val="28"/>
          <w:szCs w:val="28"/>
          <w:lang w:val="es-ES"/>
        </w:rPr>
        <w:t>[Indicar si]s</w:t>
      </w:r>
      <w:r w:rsidRPr="00030313">
        <w:rPr>
          <w:rFonts w:ascii="Times New Roman" w:hAnsi="Times New Roman"/>
          <w:i/>
          <w:iCs/>
          <w:sz w:val="28"/>
          <w:szCs w:val="28"/>
          <w:lang w:val="es-ES"/>
        </w:rPr>
        <w:t>e han adelantado actuaciones o iniciativas tendientes a materializar el exhorto previsto en el resolutivo sexto de la Sentencia T-033 de 2022</w:t>
      </w:r>
    </w:p>
    <w:p w:rsidR="00C36B4C" w:rsidRPr="00030313" w:rsidRDefault="00030313" w:rsidP="00C61937">
      <w:pPr>
        <w:pStyle w:val="Lista"/>
        <w:tabs>
          <w:tab w:val="left" w:pos="0"/>
        </w:tabs>
        <w:spacing w:after="0" w:line="240" w:lineRule="auto"/>
        <w:jc w:val="both"/>
        <w:rPr>
          <w:rFonts w:ascii="Times New Roman" w:hAnsi="Times New Roman"/>
          <w:sz w:val="28"/>
          <w:szCs w:val="28"/>
        </w:rPr>
      </w:pPr>
    </w:p>
    <w:p w:rsidR="00C36B4C" w:rsidRPr="00030313" w:rsidRDefault="00030313" w:rsidP="00C61937">
      <w:pPr>
        <w:pStyle w:val="Lista"/>
        <w:tabs>
          <w:tab w:val="left" w:pos="0"/>
        </w:tabs>
        <w:spacing w:after="0" w:line="240" w:lineRule="auto"/>
        <w:jc w:val="both"/>
        <w:rPr>
          <w:rFonts w:ascii="Times New Roman" w:hAnsi="Times New Roman"/>
          <w:b/>
          <w:bCs/>
          <w:i/>
          <w:iCs/>
          <w:sz w:val="28"/>
          <w:szCs w:val="28"/>
          <w:lang w:val="es-ES"/>
        </w:rPr>
      </w:pPr>
    </w:p>
    <w:p w:rsidR="00C36B4C" w:rsidRPr="00030313" w:rsidRDefault="00030313" w:rsidP="00C61937">
      <w:pPr>
        <w:pStyle w:val="Ttulo2"/>
        <w:numPr>
          <w:ilvl w:val="1"/>
          <w:numId w:val="5"/>
        </w:numPr>
        <w:rPr>
          <w:rFonts w:ascii="Times New Roman" w:hAnsi="Times New Roman"/>
          <w:b w:val="0"/>
          <w:sz w:val="28"/>
        </w:rPr>
      </w:pPr>
      <w:bookmarkStart w:id="8" w:name="_Toc183628558"/>
      <w:r w:rsidRPr="00030313">
        <w:rPr>
          <w:rFonts w:ascii="Times New Roman" w:hAnsi="Times New Roman"/>
          <w:sz w:val="28"/>
        </w:rPr>
        <w:t xml:space="preserve">Auto de pruebas del </w:t>
      </w:r>
      <w:r w:rsidRPr="00030313">
        <w:rPr>
          <w:rFonts w:ascii="Times New Roman" w:hAnsi="Times New Roman"/>
          <w:sz w:val="28"/>
        </w:rPr>
        <w:t>28 de junio de 2024</w:t>
      </w:r>
      <w:bookmarkEnd w:id="8"/>
      <w:r w:rsidRPr="00030313">
        <w:rPr>
          <w:rFonts w:ascii="Times New Roman" w:hAnsi="Times New Roman"/>
          <w:sz w:val="28"/>
        </w:rPr>
        <w:t xml:space="preserve"> </w:t>
      </w:r>
    </w:p>
    <w:p w:rsidR="00C36B4C" w:rsidRPr="00030313" w:rsidRDefault="00030313" w:rsidP="00C61937">
      <w:pPr>
        <w:pStyle w:val="Lista"/>
        <w:tabs>
          <w:tab w:val="left" w:pos="0"/>
        </w:tabs>
        <w:spacing w:after="0" w:line="240" w:lineRule="auto"/>
        <w:ind w:left="0" w:firstLine="0"/>
        <w:jc w:val="both"/>
        <w:rPr>
          <w:rFonts w:ascii="Times New Roman" w:hAnsi="Times New Roman"/>
          <w:sz w:val="28"/>
          <w:szCs w:val="28"/>
          <w:lang w:val="es-ES"/>
        </w:rPr>
      </w:pPr>
    </w:p>
    <w:p w:rsidR="00C36B4C" w:rsidRPr="00030313" w:rsidRDefault="00030313" w:rsidP="00C61937">
      <w:pPr>
        <w:pStyle w:val="Lista"/>
        <w:numPr>
          <w:ilvl w:val="0"/>
          <w:numId w:val="6"/>
        </w:numPr>
        <w:tabs>
          <w:tab w:val="left" w:pos="0"/>
        </w:tabs>
        <w:spacing w:after="0" w:line="240" w:lineRule="auto"/>
        <w:ind w:left="0" w:firstLine="0"/>
        <w:jc w:val="both"/>
        <w:rPr>
          <w:rFonts w:ascii="Times New Roman" w:hAnsi="Times New Roman"/>
          <w:b/>
          <w:bCs/>
          <w:i/>
          <w:iCs/>
          <w:sz w:val="28"/>
          <w:szCs w:val="28"/>
          <w:lang w:val="es-ES"/>
        </w:rPr>
      </w:pPr>
      <w:r w:rsidRPr="00030313">
        <w:rPr>
          <w:rFonts w:ascii="Times New Roman" w:hAnsi="Times New Roman"/>
          <w:b/>
          <w:bCs/>
          <w:i/>
          <w:iCs/>
          <w:sz w:val="28"/>
          <w:szCs w:val="28"/>
          <w:lang w:val="es-ES"/>
        </w:rPr>
        <w:t>Sergio</w:t>
      </w:r>
      <w:r w:rsidRPr="00030313">
        <w:rPr>
          <w:rFonts w:ascii="Times New Roman" w:hAnsi="Times New Roman"/>
          <w:b/>
          <w:bCs/>
          <w:i/>
          <w:iCs/>
          <w:sz w:val="28"/>
          <w:szCs w:val="28"/>
          <w:lang w:val="es-ES"/>
        </w:rPr>
        <w:t>.</w:t>
      </w:r>
      <w:r w:rsidRPr="00030313">
        <w:rPr>
          <w:rFonts w:ascii="Times New Roman" w:hAnsi="Times New Roman"/>
          <w:b/>
          <w:bCs/>
          <w:i/>
          <w:iCs/>
          <w:sz w:val="28"/>
          <w:szCs w:val="28"/>
          <w:lang w:val="es-ES"/>
        </w:rPr>
        <w:t xml:space="preserve"> </w:t>
      </w:r>
      <w:r w:rsidRPr="00030313">
        <w:rPr>
          <w:rFonts w:ascii="Times New Roman" w:hAnsi="Times New Roman"/>
          <w:sz w:val="28"/>
          <w:szCs w:val="28"/>
          <w:lang w:val="es-ES"/>
        </w:rPr>
        <w:t xml:space="preserve">Mediante correo del 8 de julio de 2024, </w:t>
      </w:r>
      <w:r w:rsidRPr="00030313">
        <w:rPr>
          <w:rFonts w:ascii="Times New Roman" w:hAnsi="Times New Roman"/>
          <w:sz w:val="28"/>
          <w:szCs w:val="28"/>
          <w:lang w:val="es-ES"/>
        </w:rPr>
        <w:t>la persona</w:t>
      </w:r>
      <w:r w:rsidRPr="00030313">
        <w:rPr>
          <w:rFonts w:ascii="Times New Roman" w:hAnsi="Times New Roman"/>
          <w:sz w:val="28"/>
          <w:szCs w:val="28"/>
          <w:lang w:val="es-ES"/>
        </w:rPr>
        <w:t xml:space="preserve"> accionante </w:t>
      </w:r>
      <w:r w:rsidRPr="00030313">
        <w:rPr>
          <w:rFonts w:ascii="Times New Roman" w:hAnsi="Times New Roman"/>
          <w:sz w:val="28"/>
          <w:szCs w:val="28"/>
          <w:lang w:val="es-ES"/>
        </w:rPr>
        <w:t>reiteró lo hechos de la demanda.</w:t>
      </w:r>
      <w:r w:rsidRPr="00030313">
        <w:rPr>
          <w:rFonts w:ascii="Times New Roman" w:hAnsi="Times New Roman"/>
          <w:sz w:val="28"/>
          <w:szCs w:val="28"/>
          <w:lang w:val="es-ES"/>
        </w:rPr>
        <w:t xml:space="preserve"> </w:t>
      </w:r>
      <w:r w:rsidRPr="00030313">
        <w:rPr>
          <w:rFonts w:ascii="Times New Roman" w:hAnsi="Times New Roman"/>
          <w:sz w:val="28"/>
          <w:szCs w:val="28"/>
          <w:lang w:val="es-ES"/>
        </w:rPr>
        <w:t>Finalmente, señaló que</w:t>
      </w:r>
      <w:r w:rsidRPr="00030313">
        <w:rPr>
          <w:rFonts w:ascii="Times New Roman" w:hAnsi="Times New Roman"/>
          <w:sz w:val="28"/>
          <w:szCs w:val="28"/>
          <w:lang w:val="es-ES"/>
        </w:rPr>
        <w:t>, hasta esa fecha</w:t>
      </w:r>
      <w:r w:rsidRPr="00030313">
        <w:rPr>
          <w:rFonts w:ascii="Times New Roman" w:hAnsi="Times New Roman"/>
          <w:sz w:val="28"/>
          <w:szCs w:val="28"/>
          <w:lang w:val="es-ES"/>
        </w:rPr>
        <w:t>, la Registraduría Nacional del Estado Civil no se ha comunicado con él</w:t>
      </w:r>
      <w:r w:rsidRPr="00030313">
        <w:rPr>
          <w:rFonts w:ascii="Times New Roman" w:hAnsi="Times New Roman"/>
          <w:sz w:val="28"/>
          <w:szCs w:val="28"/>
          <w:lang w:val="es-ES"/>
        </w:rPr>
        <w:t xml:space="preserve"> </w:t>
      </w:r>
      <w:r w:rsidRPr="00030313">
        <w:rPr>
          <w:rFonts w:ascii="Times New Roman" w:hAnsi="Times New Roman"/>
          <w:sz w:val="28"/>
          <w:szCs w:val="28"/>
          <w:lang w:val="es-ES"/>
        </w:rPr>
        <w:t xml:space="preserve">para </w:t>
      </w:r>
      <w:r w:rsidRPr="00030313">
        <w:rPr>
          <w:rFonts w:ascii="Times New Roman" w:hAnsi="Times New Roman"/>
          <w:sz w:val="28"/>
          <w:szCs w:val="28"/>
          <w:lang w:val="es-ES"/>
        </w:rPr>
        <w:t>ajustar</w:t>
      </w:r>
      <w:r w:rsidRPr="00030313">
        <w:rPr>
          <w:rFonts w:ascii="Times New Roman" w:hAnsi="Times New Roman"/>
          <w:sz w:val="28"/>
          <w:szCs w:val="28"/>
          <w:lang w:val="es-ES"/>
        </w:rPr>
        <w:t xml:space="preserve"> el componente del marcador sexo, así como tampoco han realizado a su favor la devolución del valor pagado por el trámit</w:t>
      </w:r>
      <w:r w:rsidRPr="00030313">
        <w:rPr>
          <w:rFonts w:ascii="Times New Roman" w:hAnsi="Times New Roman"/>
          <w:sz w:val="28"/>
          <w:szCs w:val="28"/>
          <w:lang w:val="es-ES"/>
        </w:rPr>
        <w:t xml:space="preserve">e. </w:t>
      </w:r>
      <w:r w:rsidRPr="00030313">
        <w:rPr>
          <w:rFonts w:ascii="Times New Roman" w:hAnsi="Times New Roman"/>
          <w:sz w:val="28"/>
          <w:szCs w:val="28"/>
          <w:lang w:val="es-ES"/>
        </w:rPr>
        <w:t>Por ello, aún carece de una cédula de ciudadanía virtual a la fecha de emisión del oficio al Despacho Ponente</w:t>
      </w:r>
      <w:r w:rsidRPr="00030313">
        <w:rPr>
          <w:rStyle w:val="Refdenotaalpie"/>
          <w:rFonts w:ascii="Times New Roman" w:hAnsi="Times New Roman"/>
          <w:sz w:val="28"/>
          <w:szCs w:val="28"/>
          <w:lang w:val="es-ES"/>
        </w:rPr>
        <w:footnoteReference w:id="17"/>
      </w:r>
      <w:r w:rsidRPr="00030313">
        <w:rPr>
          <w:rFonts w:ascii="Times New Roman" w:hAnsi="Times New Roman"/>
          <w:sz w:val="28"/>
          <w:szCs w:val="28"/>
          <w:lang w:val="es-ES"/>
        </w:rPr>
        <w:t>.</w:t>
      </w:r>
      <w:r w:rsidRPr="00030313">
        <w:rPr>
          <w:rFonts w:ascii="Times New Roman" w:hAnsi="Times New Roman"/>
          <w:sz w:val="28"/>
          <w:szCs w:val="28"/>
          <w:lang w:val="es-ES"/>
        </w:rPr>
        <w:t xml:space="preserve"> </w:t>
      </w:r>
    </w:p>
    <w:p w:rsidR="00534E23" w:rsidRPr="00030313" w:rsidRDefault="00030313" w:rsidP="00C61937">
      <w:pPr>
        <w:pStyle w:val="Lista"/>
        <w:tabs>
          <w:tab w:val="left" w:pos="0"/>
        </w:tabs>
        <w:spacing w:after="0" w:line="240" w:lineRule="auto"/>
        <w:ind w:left="0" w:firstLine="0"/>
        <w:jc w:val="both"/>
        <w:rPr>
          <w:rFonts w:ascii="Times New Roman" w:hAnsi="Times New Roman"/>
          <w:b/>
          <w:bCs/>
          <w:i/>
          <w:iCs/>
          <w:sz w:val="28"/>
          <w:szCs w:val="28"/>
          <w:lang w:val="es-ES"/>
        </w:rPr>
      </w:pPr>
    </w:p>
    <w:p w:rsidR="00DA5478" w:rsidRPr="00030313" w:rsidRDefault="00030313" w:rsidP="00C61937">
      <w:pPr>
        <w:pStyle w:val="Lista"/>
        <w:numPr>
          <w:ilvl w:val="0"/>
          <w:numId w:val="6"/>
        </w:numPr>
        <w:tabs>
          <w:tab w:val="left" w:pos="0"/>
        </w:tabs>
        <w:spacing w:after="0" w:line="240" w:lineRule="auto"/>
        <w:ind w:left="0" w:firstLine="0"/>
        <w:jc w:val="both"/>
        <w:rPr>
          <w:rFonts w:ascii="Times New Roman" w:hAnsi="Times New Roman"/>
          <w:b/>
          <w:bCs/>
          <w:i/>
          <w:iCs/>
          <w:sz w:val="28"/>
          <w:szCs w:val="28"/>
          <w:lang w:val="es-ES"/>
        </w:rPr>
      </w:pPr>
      <w:r w:rsidRPr="00030313">
        <w:rPr>
          <w:rFonts w:ascii="Times New Roman" w:hAnsi="Times New Roman"/>
          <w:b/>
          <w:bCs/>
          <w:i/>
          <w:iCs/>
          <w:sz w:val="28"/>
          <w:szCs w:val="28"/>
          <w:lang w:val="es-ES"/>
        </w:rPr>
        <w:t>Secretaría General del Senado de la República</w:t>
      </w:r>
      <w:r w:rsidRPr="00030313">
        <w:rPr>
          <w:rStyle w:val="Refdenotaalpie"/>
          <w:rFonts w:ascii="Times New Roman" w:hAnsi="Times New Roman"/>
          <w:b/>
          <w:bCs/>
          <w:sz w:val="28"/>
          <w:szCs w:val="28"/>
          <w:lang w:val="es-ES"/>
        </w:rPr>
        <w:footnoteReference w:id="18"/>
      </w:r>
      <w:r w:rsidRPr="00030313">
        <w:rPr>
          <w:rFonts w:ascii="Times New Roman" w:hAnsi="Times New Roman"/>
          <w:b/>
          <w:bCs/>
          <w:i/>
          <w:iCs/>
          <w:sz w:val="28"/>
          <w:szCs w:val="28"/>
          <w:lang w:val="es-ES"/>
        </w:rPr>
        <w:t>.</w:t>
      </w:r>
      <w:r w:rsidRPr="00030313">
        <w:rPr>
          <w:rFonts w:ascii="Times New Roman" w:hAnsi="Times New Roman"/>
          <w:b/>
          <w:bCs/>
          <w:i/>
          <w:iCs/>
          <w:sz w:val="28"/>
          <w:szCs w:val="28"/>
          <w:lang w:val="es-ES"/>
        </w:rPr>
        <w:t xml:space="preserve"> </w:t>
      </w:r>
      <w:r w:rsidRPr="00030313">
        <w:rPr>
          <w:rFonts w:ascii="Times New Roman" w:hAnsi="Times New Roman"/>
          <w:sz w:val="28"/>
          <w:szCs w:val="28"/>
          <w:lang w:val="es-ES"/>
        </w:rPr>
        <w:t xml:space="preserve">Por medio de oficio del 9 de julio de 2024, la Secretaría General del Senado de la República remitió respuesta al Auto de pruebas del 28 de junio de 2024. </w:t>
      </w:r>
      <w:r w:rsidRPr="00030313">
        <w:rPr>
          <w:rFonts w:ascii="Times New Roman" w:hAnsi="Times New Roman"/>
          <w:sz w:val="28"/>
          <w:szCs w:val="28"/>
          <w:lang w:val="es-ES"/>
        </w:rPr>
        <w:t>Para responder a las preguntas planteadas por el Desp</w:t>
      </w:r>
      <w:r w:rsidRPr="00030313">
        <w:rPr>
          <w:rFonts w:ascii="Times New Roman" w:hAnsi="Times New Roman"/>
          <w:sz w:val="28"/>
          <w:szCs w:val="28"/>
          <w:lang w:val="es-ES"/>
        </w:rPr>
        <w:t xml:space="preserve">acho Ponente, </w:t>
      </w:r>
      <w:r w:rsidRPr="00030313">
        <w:rPr>
          <w:rFonts w:ascii="Times New Roman" w:hAnsi="Times New Roman"/>
          <w:sz w:val="28"/>
          <w:szCs w:val="28"/>
          <w:lang w:val="es-ES"/>
        </w:rPr>
        <w:t xml:space="preserve">enlistaron una serie de proyectos de ley que, a su juicio, responden las preguntas formuladas en el Auto de pruebas. </w:t>
      </w:r>
      <w:r w:rsidRPr="00030313">
        <w:rPr>
          <w:rFonts w:ascii="Times New Roman" w:hAnsi="Times New Roman"/>
          <w:sz w:val="28"/>
          <w:szCs w:val="28"/>
          <w:lang w:val="es-ES"/>
        </w:rPr>
        <w:t xml:space="preserve">Al parecer, </w:t>
      </w:r>
      <w:r w:rsidRPr="00030313">
        <w:rPr>
          <w:rFonts w:ascii="Times New Roman" w:hAnsi="Times New Roman"/>
          <w:sz w:val="28"/>
          <w:szCs w:val="28"/>
          <w:lang w:val="es-ES"/>
        </w:rPr>
        <w:t xml:space="preserve">esos proyectos demuestran que entre 2022 a 2024 sí se han presentado proyectos de ley que </w:t>
      </w:r>
      <w:r w:rsidRPr="00030313">
        <w:rPr>
          <w:rFonts w:ascii="Times New Roman" w:hAnsi="Times New Roman"/>
          <w:sz w:val="28"/>
          <w:szCs w:val="28"/>
          <w:lang w:val="es-ES"/>
        </w:rPr>
        <w:t>promuevan</w:t>
      </w:r>
      <w:r w:rsidRPr="00030313">
        <w:rPr>
          <w:rFonts w:ascii="Times New Roman" w:hAnsi="Times New Roman"/>
          <w:sz w:val="28"/>
          <w:szCs w:val="28"/>
          <w:lang w:val="es-ES"/>
        </w:rPr>
        <w:t xml:space="preserve"> una política inclusiva de las personas que se </w:t>
      </w:r>
      <w:r w:rsidRPr="00030313">
        <w:rPr>
          <w:rFonts w:ascii="Times New Roman" w:hAnsi="Times New Roman"/>
          <w:sz w:val="28"/>
          <w:szCs w:val="28"/>
          <w:lang w:val="es-ES"/>
        </w:rPr>
        <w:t>autodenominan</w:t>
      </w:r>
      <w:r w:rsidRPr="00030313">
        <w:rPr>
          <w:rFonts w:ascii="Times New Roman" w:hAnsi="Times New Roman"/>
          <w:sz w:val="28"/>
          <w:szCs w:val="28"/>
          <w:lang w:val="es-ES"/>
        </w:rPr>
        <w:t xml:space="preserve"> como no binarias en </w:t>
      </w:r>
      <w:r w:rsidRPr="00030313">
        <w:rPr>
          <w:rFonts w:ascii="Times New Roman" w:hAnsi="Times New Roman"/>
          <w:sz w:val="28"/>
          <w:szCs w:val="28"/>
          <w:lang w:val="es-ES"/>
        </w:rPr>
        <w:t>la marcación de su identificación, y que apuntan a materializar la</w:t>
      </w:r>
      <w:r w:rsidRPr="00030313">
        <w:rPr>
          <w:rFonts w:ascii="Times New Roman" w:hAnsi="Times New Roman"/>
          <w:sz w:val="28"/>
          <w:szCs w:val="28"/>
          <w:lang w:val="es-ES"/>
        </w:rPr>
        <w:t xml:space="preserve"> sexta orden del resolutivo de la Sentencia T-033 de 2022.</w:t>
      </w:r>
      <w:r w:rsidRPr="00030313">
        <w:rPr>
          <w:rFonts w:ascii="Times New Roman" w:hAnsi="Times New Roman"/>
          <w:sz w:val="28"/>
          <w:szCs w:val="28"/>
          <w:lang w:val="es-ES"/>
        </w:rPr>
        <w:t xml:space="preserve"> </w:t>
      </w:r>
      <w:r w:rsidRPr="00030313">
        <w:rPr>
          <w:rFonts w:ascii="Times New Roman" w:hAnsi="Times New Roman"/>
          <w:sz w:val="28"/>
          <w:szCs w:val="28"/>
          <w:lang w:val="es-ES"/>
        </w:rPr>
        <w:t>A continuación, se exponen los respectivos proyect</w:t>
      </w:r>
      <w:r w:rsidRPr="00030313">
        <w:rPr>
          <w:rFonts w:ascii="Times New Roman" w:hAnsi="Times New Roman"/>
          <w:sz w:val="28"/>
          <w:szCs w:val="28"/>
          <w:lang w:val="es-ES"/>
        </w:rPr>
        <w:t>os y su</w:t>
      </w:r>
      <w:r w:rsidRPr="00030313">
        <w:rPr>
          <w:rFonts w:ascii="Times New Roman" w:hAnsi="Times New Roman"/>
          <w:sz w:val="28"/>
          <w:szCs w:val="28"/>
          <w:lang w:val="es-ES"/>
        </w:rPr>
        <w:t>s</w:t>
      </w:r>
      <w:r w:rsidRPr="00030313">
        <w:rPr>
          <w:rFonts w:ascii="Times New Roman" w:hAnsi="Times New Roman"/>
          <w:sz w:val="28"/>
          <w:szCs w:val="28"/>
          <w:lang w:val="es-ES"/>
        </w:rPr>
        <w:t xml:space="preserve"> título</w:t>
      </w:r>
      <w:r w:rsidRPr="00030313">
        <w:rPr>
          <w:rFonts w:ascii="Times New Roman" w:hAnsi="Times New Roman"/>
          <w:sz w:val="28"/>
          <w:szCs w:val="28"/>
          <w:lang w:val="es-ES"/>
        </w:rPr>
        <w:t>s</w:t>
      </w:r>
      <w:r w:rsidRPr="00030313">
        <w:rPr>
          <w:rStyle w:val="Refdenotaalpie"/>
          <w:rFonts w:ascii="Times New Roman" w:hAnsi="Times New Roman"/>
          <w:sz w:val="28"/>
          <w:szCs w:val="28"/>
          <w:lang w:val="es-ES"/>
        </w:rPr>
        <w:footnoteReference w:id="19"/>
      </w:r>
      <w:r w:rsidRPr="00030313">
        <w:rPr>
          <w:rFonts w:ascii="Times New Roman" w:hAnsi="Times New Roman"/>
          <w:sz w:val="28"/>
          <w:szCs w:val="28"/>
          <w:lang w:val="es-ES"/>
        </w:rPr>
        <w:t>:</w:t>
      </w:r>
      <w:r w:rsidRPr="00030313">
        <w:rPr>
          <w:rFonts w:ascii="Times New Roman" w:hAnsi="Times New Roman"/>
          <w:sz w:val="28"/>
          <w:szCs w:val="28"/>
          <w:lang w:val="es-ES"/>
        </w:rPr>
        <w:t xml:space="preserve"> </w:t>
      </w:r>
    </w:p>
    <w:p w:rsidR="00C36B4C" w:rsidRPr="00030313" w:rsidRDefault="00030313" w:rsidP="00C61937">
      <w:pPr>
        <w:pStyle w:val="Lista"/>
        <w:tabs>
          <w:tab w:val="left" w:pos="0"/>
        </w:tabs>
        <w:spacing w:after="0" w:line="240" w:lineRule="auto"/>
        <w:ind w:left="0" w:firstLine="0"/>
        <w:jc w:val="both"/>
        <w:rPr>
          <w:rFonts w:ascii="Times New Roman" w:hAnsi="Times New Roman"/>
          <w:b/>
          <w:bCs/>
          <w:i/>
          <w:iCs/>
          <w:sz w:val="28"/>
          <w:szCs w:val="28"/>
          <w:lang w:val="es-ES"/>
        </w:rPr>
      </w:pPr>
    </w:p>
    <w:p w:rsidR="00E77325" w:rsidRPr="00030313" w:rsidRDefault="00030313" w:rsidP="00C61937">
      <w:pPr>
        <w:pStyle w:val="Descripcin"/>
        <w:keepNext/>
        <w:spacing w:after="0"/>
        <w:jc w:val="both"/>
        <w:rPr>
          <w:rFonts w:ascii="Times New Roman" w:hAnsi="Times New Roman"/>
          <w:color w:val="auto"/>
          <w:sz w:val="28"/>
        </w:rPr>
      </w:pPr>
      <w:r w:rsidRPr="00030313">
        <w:rPr>
          <w:rFonts w:ascii="Times New Roman" w:hAnsi="Times New Roman"/>
          <w:i w:val="0"/>
          <w:iCs w:val="0"/>
          <w:color w:val="auto"/>
          <w:sz w:val="28"/>
          <w:szCs w:val="22"/>
        </w:rPr>
        <w:t>Tabla 1.</w:t>
      </w:r>
      <w:r w:rsidRPr="00030313">
        <w:rPr>
          <w:rFonts w:ascii="Times New Roman" w:hAnsi="Times New Roman"/>
          <w:i w:val="0"/>
          <w:iCs w:val="0"/>
          <w:color w:val="auto"/>
          <w:sz w:val="28"/>
        </w:rPr>
        <w:t xml:space="preserve"> </w:t>
      </w:r>
      <w:r w:rsidRPr="00030313">
        <w:rPr>
          <w:rFonts w:ascii="Times New Roman" w:hAnsi="Times New Roman"/>
          <w:color w:val="auto"/>
          <w:sz w:val="28"/>
          <w:szCs w:val="22"/>
        </w:rPr>
        <w:t xml:space="preserve">Proyectos de ley promovidos por el Congreso de la República </w:t>
      </w:r>
      <w:r w:rsidRPr="00030313">
        <w:rPr>
          <w:rFonts w:ascii="Times New Roman" w:hAnsi="Times New Roman"/>
          <w:color w:val="auto"/>
          <w:sz w:val="28"/>
          <w:szCs w:val="22"/>
        </w:rPr>
        <w:t>desde que se profirió la Sentencia T-033 de 2022</w:t>
      </w:r>
      <w:r w:rsidRPr="00030313">
        <w:rPr>
          <w:rFonts w:ascii="Times New Roman" w:hAnsi="Times New Roman"/>
          <w:i w:val="0"/>
          <w:iCs w:val="0"/>
          <w:color w:val="auto"/>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5318"/>
      </w:tblGrid>
      <w:tr w:rsidR="00030313" w:rsidRPr="00030313" w:rsidTr="00030313">
        <w:tc>
          <w:tcPr>
            <w:tcW w:w="3512" w:type="dxa"/>
            <w:shd w:val="clear" w:color="auto" w:fill="CBD3DE"/>
            <w:vAlign w:val="center"/>
          </w:tcPr>
          <w:p w:rsidR="00C36B4C" w:rsidRPr="00030313" w:rsidRDefault="00030313" w:rsidP="00030313">
            <w:pPr>
              <w:spacing w:after="0" w:line="240" w:lineRule="auto"/>
              <w:ind w:right="174"/>
              <w:jc w:val="center"/>
              <w:rPr>
                <w:rFonts w:ascii="Times New Roman" w:hAnsi="Times New Roman"/>
                <w:b/>
                <w:bCs/>
                <w:sz w:val="28"/>
              </w:rPr>
            </w:pPr>
            <w:r w:rsidRPr="00030313">
              <w:rPr>
                <w:rFonts w:ascii="Times New Roman" w:hAnsi="Times New Roman"/>
                <w:b/>
                <w:bCs/>
                <w:sz w:val="28"/>
              </w:rPr>
              <w:t>Número de proyecto de ley</w:t>
            </w:r>
          </w:p>
        </w:tc>
        <w:tc>
          <w:tcPr>
            <w:tcW w:w="5318" w:type="dxa"/>
            <w:shd w:val="clear" w:color="auto" w:fill="CBD3DE"/>
            <w:vAlign w:val="center"/>
          </w:tcPr>
          <w:p w:rsidR="00C36B4C" w:rsidRPr="00030313" w:rsidRDefault="00030313" w:rsidP="00030313">
            <w:pPr>
              <w:spacing w:after="0" w:line="240" w:lineRule="auto"/>
              <w:jc w:val="center"/>
              <w:rPr>
                <w:rFonts w:ascii="Times New Roman" w:hAnsi="Times New Roman"/>
                <w:b/>
                <w:bCs/>
                <w:sz w:val="28"/>
              </w:rPr>
            </w:pPr>
            <w:r w:rsidRPr="00030313">
              <w:rPr>
                <w:rFonts w:ascii="Times New Roman" w:hAnsi="Times New Roman"/>
                <w:b/>
                <w:bCs/>
                <w:sz w:val="28"/>
              </w:rPr>
              <w:t>Título del proyecto de ley</w:t>
            </w:r>
            <w:r w:rsidRPr="00030313">
              <w:rPr>
                <w:rFonts w:ascii="Times New Roman" w:hAnsi="Times New Roman"/>
                <w:b/>
                <w:bCs/>
                <w:sz w:val="28"/>
              </w:rPr>
              <w:t xml:space="preserve"> y su estado</w:t>
            </w:r>
          </w:p>
        </w:tc>
      </w:tr>
      <w:tr w:rsidR="00C36B4C" w:rsidRPr="00030313" w:rsidTr="00030313">
        <w:tc>
          <w:tcPr>
            <w:tcW w:w="3512" w:type="dxa"/>
            <w:shd w:val="clear" w:color="auto" w:fill="auto"/>
            <w:vAlign w:val="center"/>
          </w:tcPr>
          <w:p w:rsidR="00C36B4C" w:rsidRPr="00030313" w:rsidRDefault="00030313" w:rsidP="00030313">
            <w:pPr>
              <w:spacing w:after="0" w:line="240" w:lineRule="auto"/>
              <w:jc w:val="both"/>
              <w:rPr>
                <w:rFonts w:ascii="Times New Roman" w:hAnsi="Times New Roman"/>
                <w:sz w:val="28"/>
              </w:rPr>
            </w:pPr>
            <w:r w:rsidRPr="00030313">
              <w:rPr>
                <w:rFonts w:ascii="Times New Roman" w:hAnsi="Times New Roman"/>
                <w:sz w:val="28"/>
              </w:rPr>
              <w:t xml:space="preserve">Proyecto de ley No. 270 de 2024 Senado – 272 de </w:t>
            </w:r>
            <w:r w:rsidRPr="00030313">
              <w:rPr>
                <w:rFonts w:ascii="Times New Roman" w:hAnsi="Times New Roman"/>
                <w:sz w:val="28"/>
              </w:rPr>
              <w:t>2022 Cámara</w:t>
            </w:r>
          </w:p>
        </w:tc>
        <w:tc>
          <w:tcPr>
            <w:tcW w:w="5318" w:type="dxa"/>
            <w:shd w:val="clear" w:color="auto" w:fill="auto"/>
            <w:vAlign w:val="center"/>
          </w:tcPr>
          <w:p w:rsidR="00C36B4C" w:rsidRPr="00030313" w:rsidRDefault="00030313" w:rsidP="00030313">
            <w:pPr>
              <w:spacing w:after="0" w:line="240" w:lineRule="auto"/>
              <w:jc w:val="both"/>
              <w:rPr>
                <w:rFonts w:ascii="Times New Roman" w:hAnsi="Times New Roman"/>
                <w:sz w:val="28"/>
              </w:rPr>
            </w:pPr>
            <w:r w:rsidRPr="00030313">
              <w:rPr>
                <w:rFonts w:ascii="Times New Roman" w:hAnsi="Times New Roman"/>
                <w:i/>
                <w:iCs/>
                <w:sz w:val="28"/>
              </w:rPr>
              <w:t>Por medio del cual se prohíben los esfuerzos de corrección y/o represión de orientación sexual de identidad y expresión de género (ECOSIEG) en el territorio nacional y se promueve la no discriminación por motivos de orientación sexual, identida</w:t>
            </w:r>
            <w:r w:rsidRPr="00030313">
              <w:rPr>
                <w:rFonts w:ascii="Times New Roman" w:hAnsi="Times New Roman"/>
                <w:i/>
                <w:iCs/>
                <w:sz w:val="28"/>
              </w:rPr>
              <w:t>d y expresión de género en las redes de salud mental y otras instituciones y se dictan otras disposiciones.</w:t>
            </w:r>
            <w:r w:rsidRPr="00030313">
              <w:rPr>
                <w:rFonts w:ascii="Times New Roman" w:hAnsi="Times New Roman"/>
                <w:i/>
                <w:iCs/>
                <w:sz w:val="28"/>
              </w:rPr>
              <w:t xml:space="preserve"> </w:t>
            </w:r>
            <w:r w:rsidRPr="00030313">
              <w:rPr>
                <w:rFonts w:ascii="Times New Roman" w:hAnsi="Times New Roman"/>
                <w:sz w:val="28"/>
              </w:rPr>
              <w:t>(Pendiente de discutir ponencia para primer debate en Senado).</w:t>
            </w:r>
          </w:p>
        </w:tc>
      </w:tr>
      <w:tr w:rsidR="00C36B4C" w:rsidRPr="00030313" w:rsidTr="00030313">
        <w:tc>
          <w:tcPr>
            <w:tcW w:w="3512" w:type="dxa"/>
            <w:shd w:val="clear" w:color="auto" w:fill="auto"/>
            <w:vAlign w:val="center"/>
          </w:tcPr>
          <w:p w:rsidR="00C36B4C" w:rsidRPr="00030313" w:rsidRDefault="00030313" w:rsidP="00030313">
            <w:pPr>
              <w:spacing w:after="0" w:line="240" w:lineRule="auto"/>
              <w:jc w:val="both"/>
              <w:rPr>
                <w:rFonts w:ascii="Times New Roman" w:hAnsi="Times New Roman"/>
                <w:sz w:val="28"/>
              </w:rPr>
            </w:pPr>
            <w:r w:rsidRPr="00030313">
              <w:rPr>
                <w:rFonts w:ascii="Times New Roman" w:hAnsi="Times New Roman"/>
                <w:sz w:val="28"/>
              </w:rPr>
              <w:t>Proyecto de ley No. 253 de 2024 Senado – 054 de 2024 Cámara</w:t>
            </w:r>
          </w:p>
        </w:tc>
        <w:tc>
          <w:tcPr>
            <w:tcW w:w="5318" w:type="dxa"/>
            <w:shd w:val="clear" w:color="auto" w:fill="auto"/>
            <w:vAlign w:val="center"/>
          </w:tcPr>
          <w:p w:rsidR="00C36B4C" w:rsidRPr="00030313" w:rsidRDefault="00030313" w:rsidP="00030313">
            <w:pPr>
              <w:adjustRightInd w:val="0"/>
              <w:spacing w:after="0" w:line="240" w:lineRule="auto"/>
              <w:jc w:val="both"/>
              <w:rPr>
                <w:rFonts w:ascii="Times New Roman" w:hAnsi="Times New Roman"/>
                <w:sz w:val="28"/>
              </w:rPr>
            </w:pPr>
            <w:r w:rsidRPr="00030313">
              <w:rPr>
                <w:rFonts w:ascii="Times New Roman" w:hAnsi="Times New Roman"/>
                <w:i/>
                <w:iCs/>
                <w:sz w:val="28"/>
              </w:rPr>
              <w:t xml:space="preserve">Por medio de la cual se </w:t>
            </w:r>
            <w:r w:rsidRPr="00030313">
              <w:rPr>
                <w:rFonts w:ascii="Times New Roman" w:hAnsi="Times New Roman"/>
                <w:i/>
                <w:iCs/>
                <w:sz w:val="28"/>
              </w:rPr>
              <w:t xml:space="preserve">modifican algunas disposiciones de la Ley 1861 de 2017, se incentivan los derechos y deberes de quienes presten el servicio militar obligatorio y se dictan otras disposiciones. </w:t>
            </w:r>
            <w:r w:rsidRPr="00030313">
              <w:rPr>
                <w:rFonts w:ascii="Times New Roman" w:hAnsi="Times New Roman"/>
                <w:sz w:val="28"/>
              </w:rPr>
              <w:t>(Pendiente de enviar a sanción presidencial)</w:t>
            </w:r>
            <w:r w:rsidRPr="00030313">
              <w:rPr>
                <w:rFonts w:ascii="Times New Roman" w:hAnsi="Times New Roman"/>
                <w:sz w:val="28"/>
              </w:rPr>
              <w:t xml:space="preserve">. </w:t>
            </w:r>
          </w:p>
        </w:tc>
      </w:tr>
      <w:tr w:rsidR="00C36B4C" w:rsidRPr="00030313" w:rsidTr="00030313">
        <w:tc>
          <w:tcPr>
            <w:tcW w:w="3512" w:type="dxa"/>
            <w:shd w:val="clear" w:color="auto" w:fill="auto"/>
            <w:vAlign w:val="center"/>
          </w:tcPr>
          <w:p w:rsidR="00C36B4C" w:rsidRPr="00030313" w:rsidRDefault="00030313" w:rsidP="00030313">
            <w:pPr>
              <w:spacing w:after="0" w:line="240" w:lineRule="auto"/>
              <w:jc w:val="both"/>
              <w:rPr>
                <w:rFonts w:ascii="Times New Roman" w:hAnsi="Times New Roman"/>
                <w:sz w:val="28"/>
              </w:rPr>
            </w:pPr>
            <w:r w:rsidRPr="00030313">
              <w:rPr>
                <w:rFonts w:ascii="Times New Roman" w:hAnsi="Times New Roman"/>
                <w:sz w:val="28"/>
              </w:rPr>
              <w:t>Proyecto de ley No. 29</w:t>
            </w:r>
            <w:r w:rsidRPr="00030313">
              <w:rPr>
                <w:rFonts w:ascii="Times New Roman" w:hAnsi="Times New Roman"/>
                <w:sz w:val="28"/>
              </w:rPr>
              <w:t>3</w:t>
            </w:r>
            <w:r w:rsidRPr="00030313">
              <w:rPr>
                <w:rFonts w:ascii="Times New Roman" w:hAnsi="Times New Roman"/>
                <w:sz w:val="28"/>
              </w:rPr>
              <w:t xml:space="preserve"> de 2023 Senado – 433 de 2024 Cámara</w:t>
            </w:r>
          </w:p>
        </w:tc>
        <w:tc>
          <w:tcPr>
            <w:tcW w:w="5318" w:type="dxa"/>
            <w:shd w:val="clear" w:color="auto" w:fill="auto"/>
            <w:vAlign w:val="center"/>
          </w:tcPr>
          <w:p w:rsidR="00C36B4C" w:rsidRPr="00030313" w:rsidRDefault="00030313" w:rsidP="00030313">
            <w:pPr>
              <w:adjustRightInd w:val="0"/>
              <w:spacing w:after="0" w:line="240" w:lineRule="auto"/>
              <w:jc w:val="both"/>
              <w:rPr>
                <w:rFonts w:ascii="Times New Roman" w:hAnsi="Times New Roman"/>
                <w:sz w:val="28"/>
              </w:rPr>
            </w:pPr>
            <w:r w:rsidRPr="00030313">
              <w:rPr>
                <w:rFonts w:ascii="Times New Roman" w:hAnsi="Times New Roman"/>
                <w:i/>
                <w:iCs/>
                <w:sz w:val="28"/>
              </w:rPr>
              <w:t>Por medio de la cual se establece el sistema de protección social integral para la vejez</w:t>
            </w:r>
            <w:r w:rsidRPr="00030313">
              <w:rPr>
                <w:rFonts w:ascii="Times New Roman" w:hAnsi="Times New Roman"/>
                <w:i/>
                <w:iCs/>
                <w:sz w:val="28"/>
              </w:rPr>
              <w:t xml:space="preserve">. </w:t>
            </w:r>
            <w:r w:rsidRPr="00030313">
              <w:rPr>
                <w:rFonts w:ascii="Times New Roman" w:hAnsi="Times New Roman"/>
                <w:sz w:val="28"/>
              </w:rPr>
              <w:t>(En sanción presidencial).</w:t>
            </w:r>
          </w:p>
        </w:tc>
      </w:tr>
      <w:tr w:rsidR="00C36B4C" w:rsidRPr="00030313" w:rsidTr="00030313">
        <w:tc>
          <w:tcPr>
            <w:tcW w:w="3512" w:type="dxa"/>
            <w:shd w:val="clear" w:color="auto" w:fill="auto"/>
            <w:vAlign w:val="center"/>
          </w:tcPr>
          <w:p w:rsidR="00C36B4C" w:rsidRPr="00030313" w:rsidRDefault="00030313" w:rsidP="00030313">
            <w:pPr>
              <w:spacing w:after="0" w:line="240" w:lineRule="auto"/>
              <w:jc w:val="both"/>
              <w:rPr>
                <w:rFonts w:ascii="Times New Roman" w:hAnsi="Times New Roman"/>
                <w:sz w:val="28"/>
              </w:rPr>
            </w:pPr>
            <w:r w:rsidRPr="00030313">
              <w:rPr>
                <w:rFonts w:ascii="Times New Roman" w:hAnsi="Times New Roman"/>
                <w:sz w:val="28"/>
              </w:rPr>
              <w:t>Proyecto de ley No. 256 de 2022 Senado</w:t>
            </w:r>
          </w:p>
        </w:tc>
        <w:tc>
          <w:tcPr>
            <w:tcW w:w="5318" w:type="dxa"/>
            <w:shd w:val="clear" w:color="auto" w:fill="auto"/>
            <w:vAlign w:val="center"/>
          </w:tcPr>
          <w:p w:rsidR="00C36B4C" w:rsidRPr="00030313" w:rsidRDefault="00030313" w:rsidP="00030313">
            <w:pPr>
              <w:adjustRightInd w:val="0"/>
              <w:spacing w:after="0" w:line="240" w:lineRule="auto"/>
              <w:jc w:val="both"/>
              <w:rPr>
                <w:rFonts w:ascii="Times New Roman" w:hAnsi="Times New Roman"/>
                <w:sz w:val="28"/>
              </w:rPr>
            </w:pPr>
            <w:r w:rsidRPr="00030313">
              <w:rPr>
                <w:rFonts w:ascii="Times New Roman" w:hAnsi="Times New Roman"/>
                <w:i/>
                <w:iCs/>
                <w:sz w:val="28"/>
              </w:rPr>
              <w:t xml:space="preserve">Por medio de la cual se adoptan medidas de prevención, protección, reparación y penalización de la violencia de género digital, y se dictan otras disposiciones. </w:t>
            </w:r>
            <w:r w:rsidRPr="00030313">
              <w:rPr>
                <w:rFonts w:ascii="Times New Roman" w:hAnsi="Times New Roman"/>
                <w:sz w:val="28"/>
              </w:rPr>
              <w:t xml:space="preserve">(Pendiente de discutir ponencia para primer debate en Cámara de Representantes). </w:t>
            </w:r>
          </w:p>
        </w:tc>
      </w:tr>
      <w:tr w:rsidR="00C36B4C" w:rsidRPr="00030313" w:rsidTr="00030313">
        <w:tc>
          <w:tcPr>
            <w:tcW w:w="3512" w:type="dxa"/>
            <w:shd w:val="clear" w:color="auto" w:fill="auto"/>
            <w:vAlign w:val="center"/>
          </w:tcPr>
          <w:p w:rsidR="00C36B4C" w:rsidRPr="00030313" w:rsidRDefault="00030313" w:rsidP="00030313">
            <w:pPr>
              <w:spacing w:after="0" w:line="240" w:lineRule="auto"/>
              <w:jc w:val="both"/>
              <w:rPr>
                <w:rFonts w:ascii="Times New Roman" w:hAnsi="Times New Roman"/>
                <w:sz w:val="28"/>
              </w:rPr>
            </w:pPr>
            <w:r w:rsidRPr="00030313">
              <w:rPr>
                <w:rFonts w:ascii="Times New Roman" w:hAnsi="Times New Roman"/>
                <w:sz w:val="28"/>
              </w:rPr>
              <w:t xml:space="preserve">Proyecto de </w:t>
            </w:r>
            <w:r w:rsidRPr="00030313">
              <w:rPr>
                <w:rFonts w:ascii="Times New Roman" w:hAnsi="Times New Roman"/>
                <w:sz w:val="28"/>
              </w:rPr>
              <w:t>ley No. 159 de 2022 Senado</w:t>
            </w:r>
          </w:p>
        </w:tc>
        <w:tc>
          <w:tcPr>
            <w:tcW w:w="5318" w:type="dxa"/>
            <w:shd w:val="clear" w:color="auto" w:fill="auto"/>
            <w:vAlign w:val="center"/>
          </w:tcPr>
          <w:p w:rsidR="00C36B4C" w:rsidRPr="00030313" w:rsidRDefault="00030313" w:rsidP="00030313">
            <w:pPr>
              <w:adjustRightInd w:val="0"/>
              <w:spacing w:after="0" w:line="240" w:lineRule="auto"/>
              <w:jc w:val="both"/>
              <w:rPr>
                <w:rFonts w:ascii="Times New Roman" w:hAnsi="Times New Roman"/>
                <w:sz w:val="28"/>
              </w:rPr>
            </w:pPr>
            <w:r w:rsidRPr="00030313">
              <w:rPr>
                <w:rFonts w:ascii="Times New Roman" w:hAnsi="Times New Roman"/>
                <w:i/>
                <w:iCs/>
                <w:sz w:val="28"/>
              </w:rPr>
              <w:t xml:space="preserve">Por medio de la cual se regulan los procedimientos médicos que atienden la disforia de género, y se dictan otras disposiciones. </w:t>
            </w:r>
            <w:r w:rsidRPr="00030313">
              <w:rPr>
                <w:rFonts w:ascii="Times New Roman" w:hAnsi="Times New Roman"/>
                <w:sz w:val="28"/>
              </w:rPr>
              <w:t>(Archivado</w:t>
            </w:r>
            <w:r w:rsidRPr="00030313">
              <w:rPr>
                <w:rFonts w:ascii="Times New Roman" w:hAnsi="Times New Roman"/>
                <w:sz w:val="28"/>
              </w:rPr>
              <w:t xml:space="preserve">. No se aprobó la ponencia para primer debate en Senado). </w:t>
            </w:r>
          </w:p>
        </w:tc>
      </w:tr>
      <w:tr w:rsidR="00C36B4C" w:rsidRPr="00030313" w:rsidTr="00030313">
        <w:tc>
          <w:tcPr>
            <w:tcW w:w="3512" w:type="dxa"/>
            <w:shd w:val="clear" w:color="auto" w:fill="auto"/>
            <w:vAlign w:val="center"/>
          </w:tcPr>
          <w:p w:rsidR="00C36B4C" w:rsidRPr="00030313" w:rsidRDefault="00030313" w:rsidP="00030313">
            <w:pPr>
              <w:spacing w:after="0" w:line="240" w:lineRule="auto"/>
              <w:jc w:val="both"/>
              <w:rPr>
                <w:rFonts w:ascii="Times New Roman" w:hAnsi="Times New Roman"/>
                <w:sz w:val="28"/>
              </w:rPr>
            </w:pPr>
            <w:r w:rsidRPr="00030313">
              <w:rPr>
                <w:rFonts w:ascii="Times New Roman" w:hAnsi="Times New Roman"/>
                <w:sz w:val="28"/>
              </w:rPr>
              <w:t>Proyecto de ley No. 122 de 2022</w:t>
            </w:r>
            <w:r w:rsidRPr="00030313">
              <w:rPr>
                <w:rFonts w:ascii="Times New Roman" w:hAnsi="Times New Roman"/>
                <w:sz w:val="28"/>
              </w:rPr>
              <w:t xml:space="preserve"> Senado</w:t>
            </w:r>
          </w:p>
        </w:tc>
        <w:tc>
          <w:tcPr>
            <w:tcW w:w="5318" w:type="dxa"/>
            <w:shd w:val="clear" w:color="auto" w:fill="auto"/>
            <w:vAlign w:val="center"/>
          </w:tcPr>
          <w:p w:rsidR="00C36B4C" w:rsidRPr="00030313" w:rsidRDefault="00030313" w:rsidP="00030313">
            <w:pPr>
              <w:adjustRightInd w:val="0"/>
              <w:spacing w:after="0" w:line="240" w:lineRule="auto"/>
              <w:jc w:val="both"/>
              <w:rPr>
                <w:rFonts w:ascii="Times New Roman" w:hAnsi="Times New Roman"/>
                <w:sz w:val="28"/>
              </w:rPr>
            </w:pPr>
            <w:r w:rsidRPr="00030313">
              <w:rPr>
                <w:rFonts w:ascii="Times New Roman" w:hAnsi="Times New Roman"/>
                <w:i/>
                <w:iCs/>
                <w:sz w:val="28"/>
              </w:rPr>
              <w:t xml:space="preserve">Por medio de la cual se modifica la Ley </w:t>
            </w:r>
            <w:r w:rsidRPr="00030313">
              <w:rPr>
                <w:rFonts w:ascii="Times New Roman" w:hAnsi="Times New Roman"/>
                <w:i/>
                <w:iCs/>
                <w:sz w:val="28"/>
              </w:rPr>
              <w:t xml:space="preserve">1861 de 2017, se regula la situación militar de hombres transgénero; y se dictan otras disposiciones. </w:t>
            </w:r>
            <w:r w:rsidRPr="00030313">
              <w:rPr>
                <w:rFonts w:ascii="Times New Roman" w:hAnsi="Times New Roman"/>
                <w:sz w:val="28"/>
              </w:rPr>
              <w:t>(No se rindió ponencia para primer debate en Senado)</w:t>
            </w:r>
            <w:r w:rsidRPr="00030313">
              <w:rPr>
                <w:rFonts w:ascii="Times New Roman" w:hAnsi="Times New Roman"/>
                <w:sz w:val="28"/>
              </w:rPr>
              <w:t xml:space="preserve">. </w:t>
            </w:r>
          </w:p>
        </w:tc>
      </w:tr>
      <w:tr w:rsidR="00C36B4C" w:rsidRPr="00030313" w:rsidTr="00030313">
        <w:tc>
          <w:tcPr>
            <w:tcW w:w="3512" w:type="dxa"/>
            <w:shd w:val="clear" w:color="auto" w:fill="auto"/>
            <w:vAlign w:val="center"/>
          </w:tcPr>
          <w:p w:rsidR="00C36B4C" w:rsidRPr="00030313" w:rsidRDefault="00030313" w:rsidP="00030313">
            <w:pPr>
              <w:spacing w:after="0" w:line="240" w:lineRule="auto"/>
              <w:jc w:val="both"/>
              <w:rPr>
                <w:rFonts w:ascii="Times New Roman" w:hAnsi="Times New Roman"/>
                <w:sz w:val="28"/>
              </w:rPr>
            </w:pPr>
            <w:r w:rsidRPr="00030313">
              <w:rPr>
                <w:rFonts w:ascii="Times New Roman" w:hAnsi="Times New Roman"/>
                <w:sz w:val="28"/>
              </w:rPr>
              <w:t xml:space="preserve">Proyecto de ley No. </w:t>
            </w:r>
            <w:r w:rsidRPr="00030313">
              <w:rPr>
                <w:rFonts w:ascii="Times New Roman" w:hAnsi="Times New Roman"/>
                <w:sz w:val="28"/>
              </w:rPr>
              <w:t>068 de 2023 Senado</w:t>
            </w:r>
          </w:p>
        </w:tc>
        <w:tc>
          <w:tcPr>
            <w:tcW w:w="5318" w:type="dxa"/>
            <w:shd w:val="clear" w:color="auto" w:fill="auto"/>
            <w:vAlign w:val="center"/>
          </w:tcPr>
          <w:p w:rsidR="00C36B4C" w:rsidRPr="00030313" w:rsidRDefault="00030313" w:rsidP="00030313">
            <w:pPr>
              <w:adjustRightInd w:val="0"/>
              <w:spacing w:after="0" w:line="240" w:lineRule="auto"/>
              <w:jc w:val="both"/>
              <w:rPr>
                <w:rFonts w:ascii="Times New Roman" w:hAnsi="Times New Roman"/>
                <w:sz w:val="28"/>
              </w:rPr>
            </w:pPr>
            <w:r w:rsidRPr="00030313">
              <w:rPr>
                <w:rFonts w:ascii="Times New Roman" w:hAnsi="Times New Roman"/>
                <w:i/>
                <w:iCs/>
                <w:sz w:val="28"/>
              </w:rPr>
              <w:t>Por medio d</w:t>
            </w:r>
            <w:r w:rsidRPr="00030313">
              <w:rPr>
                <w:rFonts w:ascii="Times New Roman" w:hAnsi="Times New Roman"/>
                <w:i/>
                <w:iCs/>
                <w:sz w:val="28"/>
              </w:rPr>
              <w:t xml:space="preserve">e la cual se regulan los procedimientos médicos que atienden la disforia de género y se dictan otras disposiciones -Ley niños, no experimento. </w:t>
            </w:r>
            <w:r w:rsidRPr="00030313">
              <w:rPr>
                <w:rFonts w:ascii="Times New Roman" w:hAnsi="Times New Roman"/>
                <w:sz w:val="28"/>
              </w:rPr>
              <w:t xml:space="preserve">(Pendiente de discutir ponencia para primer debate en Senado). </w:t>
            </w:r>
          </w:p>
        </w:tc>
      </w:tr>
      <w:tr w:rsidR="00BA1FC6" w:rsidRPr="00030313" w:rsidTr="00030313">
        <w:tc>
          <w:tcPr>
            <w:tcW w:w="3512" w:type="dxa"/>
            <w:shd w:val="clear" w:color="auto" w:fill="auto"/>
            <w:vAlign w:val="center"/>
          </w:tcPr>
          <w:p w:rsidR="00BA1FC6" w:rsidRPr="00030313" w:rsidRDefault="00030313" w:rsidP="00030313">
            <w:pPr>
              <w:spacing w:after="0" w:line="240" w:lineRule="auto"/>
              <w:jc w:val="both"/>
              <w:rPr>
                <w:rFonts w:ascii="Times New Roman" w:hAnsi="Times New Roman"/>
                <w:sz w:val="28"/>
              </w:rPr>
            </w:pPr>
            <w:r w:rsidRPr="00030313">
              <w:rPr>
                <w:rFonts w:ascii="Times New Roman" w:hAnsi="Times New Roman"/>
                <w:sz w:val="28"/>
              </w:rPr>
              <w:t xml:space="preserve">Proyecto de ley No. 062 de 2023 Senado </w:t>
            </w:r>
          </w:p>
        </w:tc>
        <w:tc>
          <w:tcPr>
            <w:tcW w:w="5318" w:type="dxa"/>
            <w:shd w:val="clear" w:color="auto" w:fill="auto"/>
            <w:vAlign w:val="center"/>
          </w:tcPr>
          <w:p w:rsidR="00BA1FC6" w:rsidRPr="00030313" w:rsidRDefault="00030313" w:rsidP="00030313">
            <w:pPr>
              <w:adjustRightInd w:val="0"/>
              <w:spacing w:after="0" w:line="240" w:lineRule="auto"/>
              <w:jc w:val="both"/>
              <w:rPr>
                <w:rFonts w:ascii="Times New Roman" w:hAnsi="Times New Roman"/>
                <w:sz w:val="28"/>
              </w:rPr>
            </w:pPr>
            <w:r w:rsidRPr="00030313">
              <w:rPr>
                <w:rFonts w:ascii="Times New Roman" w:hAnsi="Times New Roman"/>
                <w:i/>
                <w:iCs/>
                <w:sz w:val="28"/>
              </w:rPr>
              <w:t>Por medi</w:t>
            </w:r>
            <w:r w:rsidRPr="00030313">
              <w:rPr>
                <w:rFonts w:ascii="Times New Roman" w:hAnsi="Times New Roman"/>
                <w:i/>
                <w:iCs/>
                <w:sz w:val="28"/>
              </w:rPr>
              <w:t>o del cual se dictan medidas para reconocer, prevenir y sancionar violencia vicaria como u</w:t>
            </w:r>
            <w:r w:rsidRPr="00030313">
              <w:rPr>
                <w:rFonts w:ascii="Times New Roman" w:hAnsi="Times New Roman"/>
                <w:i/>
                <w:iCs/>
                <w:sz w:val="28"/>
              </w:rPr>
              <w:t>n</w:t>
            </w:r>
            <w:r w:rsidRPr="00030313">
              <w:rPr>
                <w:rFonts w:ascii="Times New Roman" w:hAnsi="Times New Roman"/>
                <w:i/>
                <w:iCs/>
                <w:sz w:val="28"/>
              </w:rPr>
              <w:t xml:space="preserve">a manifestación de violencia de género y se dictan otras disposiciones – Ley Gabriel Esteban. </w:t>
            </w:r>
            <w:r w:rsidRPr="00030313">
              <w:rPr>
                <w:rFonts w:ascii="Times New Roman" w:hAnsi="Times New Roman"/>
                <w:sz w:val="28"/>
              </w:rPr>
              <w:t>(Pendiente de discutir ponencia para segundo de</w:t>
            </w:r>
            <w:r w:rsidRPr="00030313">
              <w:rPr>
                <w:rFonts w:ascii="Times New Roman" w:hAnsi="Times New Roman"/>
                <w:sz w:val="28"/>
              </w:rPr>
              <w:t>b</w:t>
            </w:r>
            <w:r w:rsidRPr="00030313">
              <w:rPr>
                <w:rFonts w:ascii="Times New Roman" w:hAnsi="Times New Roman"/>
                <w:sz w:val="28"/>
              </w:rPr>
              <w:t xml:space="preserve">ate en Senado). </w:t>
            </w:r>
          </w:p>
        </w:tc>
      </w:tr>
    </w:tbl>
    <w:p w:rsidR="00C36B4C" w:rsidRPr="00030313" w:rsidRDefault="00030313" w:rsidP="00C61937">
      <w:pPr>
        <w:rPr>
          <w:rFonts w:ascii="Times New Roman" w:hAnsi="Times New Roman"/>
          <w:b/>
          <w:bCs/>
          <w:i/>
          <w:iCs/>
          <w:sz w:val="28"/>
          <w:lang w:val="es-ES"/>
        </w:rPr>
      </w:pPr>
    </w:p>
    <w:p w:rsidR="00C36B4C" w:rsidRPr="00030313" w:rsidRDefault="00030313" w:rsidP="00C61937">
      <w:pPr>
        <w:pStyle w:val="Lista"/>
        <w:numPr>
          <w:ilvl w:val="0"/>
          <w:numId w:val="6"/>
        </w:numPr>
        <w:tabs>
          <w:tab w:val="left" w:pos="0"/>
        </w:tabs>
        <w:spacing w:after="0" w:line="240" w:lineRule="auto"/>
        <w:ind w:left="0" w:firstLine="0"/>
        <w:jc w:val="both"/>
        <w:rPr>
          <w:rFonts w:ascii="Times New Roman" w:hAnsi="Times New Roman"/>
          <w:b/>
          <w:bCs/>
          <w:i/>
          <w:iCs/>
          <w:sz w:val="28"/>
          <w:szCs w:val="28"/>
          <w:lang w:val="es-ES"/>
        </w:rPr>
      </w:pPr>
      <w:r w:rsidRPr="00030313">
        <w:rPr>
          <w:rFonts w:ascii="Times New Roman" w:hAnsi="Times New Roman"/>
          <w:b/>
          <w:bCs/>
          <w:i/>
          <w:iCs/>
          <w:sz w:val="28"/>
          <w:szCs w:val="28"/>
          <w:lang w:val="es-ES"/>
        </w:rPr>
        <w:t>Registraduría Nacional del Estado Civil</w:t>
      </w:r>
      <w:r w:rsidRPr="00030313">
        <w:rPr>
          <w:rStyle w:val="Refdenotaalpie"/>
          <w:rFonts w:ascii="Times New Roman" w:hAnsi="Times New Roman"/>
          <w:b/>
          <w:bCs/>
          <w:sz w:val="28"/>
          <w:szCs w:val="28"/>
          <w:lang w:val="es-ES"/>
        </w:rPr>
        <w:footnoteReference w:id="20"/>
      </w:r>
      <w:r w:rsidRPr="00030313">
        <w:rPr>
          <w:rFonts w:ascii="Times New Roman" w:hAnsi="Times New Roman"/>
          <w:b/>
          <w:bCs/>
          <w:i/>
          <w:iCs/>
          <w:sz w:val="28"/>
          <w:szCs w:val="28"/>
          <w:lang w:val="es-ES"/>
        </w:rPr>
        <w:t>.</w:t>
      </w:r>
      <w:r w:rsidRPr="00030313">
        <w:rPr>
          <w:rFonts w:ascii="Times New Roman" w:hAnsi="Times New Roman"/>
          <w:b/>
          <w:bCs/>
          <w:i/>
          <w:iCs/>
          <w:sz w:val="28"/>
          <w:szCs w:val="28"/>
          <w:lang w:val="es-ES"/>
        </w:rPr>
        <w:t xml:space="preserve"> </w:t>
      </w:r>
      <w:r w:rsidRPr="00030313">
        <w:rPr>
          <w:rFonts w:ascii="Times New Roman" w:hAnsi="Times New Roman"/>
          <w:sz w:val="28"/>
          <w:szCs w:val="28"/>
        </w:rPr>
        <w:t xml:space="preserve">Mediante </w:t>
      </w:r>
      <w:r w:rsidRPr="00030313">
        <w:rPr>
          <w:rFonts w:ascii="Times New Roman" w:hAnsi="Times New Roman"/>
          <w:sz w:val="28"/>
          <w:szCs w:val="28"/>
          <w:lang w:val="es-ES"/>
        </w:rPr>
        <w:t xml:space="preserve">oficio del </w:t>
      </w:r>
      <w:r w:rsidRPr="00030313">
        <w:rPr>
          <w:rFonts w:ascii="Times New Roman" w:hAnsi="Times New Roman"/>
          <w:sz w:val="28"/>
          <w:szCs w:val="28"/>
          <w:lang w:val="es-ES"/>
        </w:rPr>
        <w:t>19 de julio de 2024, enviado a esta Corporación el 23 de julio de la misma anualidad,</w:t>
      </w:r>
      <w:r w:rsidRPr="00030313">
        <w:rPr>
          <w:rFonts w:ascii="Times New Roman" w:hAnsi="Times New Roman"/>
          <w:sz w:val="28"/>
          <w:szCs w:val="28"/>
          <w:lang w:val="es-ES"/>
        </w:rPr>
        <w:t xml:space="preserve"> </w:t>
      </w:r>
      <w:r w:rsidRPr="00030313">
        <w:rPr>
          <w:rFonts w:ascii="Times New Roman" w:hAnsi="Times New Roman"/>
          <w:sz w:val="28"/>
          <w:szCs w:val="28"/>
          <w:lang w:val="es-ES"/>
        </w:rPr>
        <w:t xml:space="preserve">la entidad de la referencia respondió </w:t>
      </w:r>
      <w:r w:rsidRPr="00030313">
        <w:rPr>
          <w:rFonts w:ascii="Times New Roman" w:hAnsi="Times New Roman"/>
          <w:sz w:val="28"/>
          <w:szCs w:val="28"/>
          <w:lang w:val="es-ES"/>
        </w:rPr>
        <w:t>de la siguiente manera a cada pregunta formulada en el Auto de pruebas</w:t>
      </w:r>
      <w:r w:rsidRPr="00030313">
        <w:rPr>
          <w:rFonts w:ascii="Times New Roman" w:hAnsi="Times New Roman"/>
          <w:sz w:val="28"/>
          <w:szCs w:val="28"/>
          <w:lang w:val="es-ES"/>
        </w:rPr>
        <w:t xml:space="preserve"> del 28 de junio de 2024</w:t>
      </w:r>
      <w:r w:rsidRPr="00030313">
        <w:rPr>
          <w:rFonts w:ascii="Times New Roman" w:hAnsi="Times New Roman"/>
          <w:sz w:val="28"/>
          <w:szCs w:val="28"/>
          <w:lang w:val="es-ES"/>
        </w:rPr>
        <w:t>:</w:t>
      </w:r>
    </w:p>
    <w:p w:rsidR="00C36B4C" w:rsidRPr="00030313" w:rsidRDefault="00030313" w:rsidP="00C61937">
      <w:pPr>
        <w:pStyle w:val="Lista"/>
        <w:tabs>
          <w:tab w:val="left" w:pos="0"/>
        </w:tabs>
        <w:spacing w:after="0" w:line="240" w:lineRule="auto"/>
        <w:jc w:val="both"/>
        <w:rPr>
          <w:rFonts w:ascii="Times New Roman" w:hAnsi="Times New Roman"/>
          <w:b/>
          <w:bCs/>
          <w:i/>
          <w:iCs/>
          <w:sz w:val="28"/>
          <w:szCs w:val="28"/>
          <w:lang w:val="es-ES"/>
        </w:rPr>
      </w:pPr>
    </w:p>
    <w:p w:rsidR="00FB0679" w:rsidRPr="00030313" w:rsidRDefault="00030313" w:rsidP="00C61937">
      <w:pPr>
        <w:pStyle w:val="Descripcin"/>
        <w:keepNext/>
        <w:spacing w:after="0"/>
        <w:jc w:val="both"/>
        <w:rPr>
          <w:rFonts w:ascii="Times New Roman" w:hAnsi="Times New Roman"/>
          <w:i w:val="0"/>
          <w:iCs w:val="0"/>
          <w:color w:val="auto"/>
          <w:sz w:val="28"/>
          <w:szCs w:val="22"/>
        </w:rPr>
      </w:pPr>
      <w:r w:rsidRPr="00030313">
        <w:rPr>
          <w:rFonts w:ascii="Times New Roman" w:hAnsi="Times New Roman"/>
          <w:i w:val="0"/>
          <w:iCs w:val="0"/>
          <w:color w:val="auto"/>
          <w:sz w:val="28"/>
          <w:szCs w:val="22"/>
        </w:rPr>
        <w:t xml:space="preserve">Tabla 2. </w:t>
      </w:r>
      <w:r w:rsidRPr="00030313">
        <w:rPr>
          <w:rFonts w:ascii="Times New Roman" w:hAnsi="Times New Roman"/>
          <w:color w:val="auto"/>
          <w:sz w:val="28"/>
          <w:szCs w:val="22"/>
        </w:rPr>
        <w:t>Respuestas de la Registraduría Nacional del Estado Civil a las preguntas formuladas en el Auto de pruebas del 28 de junio de 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5311"/>
      </w:tblGrid>
      <w:tr w:rsidR="00030313" w:rsidRPr="00030313" w:rsidTr="00030313">
        <w:tc>
          <w:tcPr>
            <w:tcW w:w="3519" w:type="dxa"/>
            <w:shd w:val="clear" w:color="auto" w:fill="CBD3DE"/>
            <w:vAlign w:val="center"/>
          </w:tcPr>
          <w:p w:rsidR="00C36B4C" w:rsidRPr="00030313" w:rsidRDefault="00030313" w:rsidP="00030313">
            <w:pPr>
              <w:spacing w:after="0" w:line="240" w:lineRule="auto"/>
              <w:jc w:val="center"/>
              <w:rPr>
                <w:rFonts w:ascii="Times New Roman" w:hAnsi="Times New Roman"/>
                <w:b/>
                <w:bCs/>
                <w:sz w:val="28"/>
              </w:rPr>
            </w:pPr>
            <w:r w:rsidRPr="00030313">
              <w:rPr>
                <w:rFonts w:ascii="Times New Roman" w:hAnsi="Times New Roman"/>
                <w:b/>
                <w:bCs/>
                <w:sz w:val="28"/>
              </w:rPr>
              <w:t>Pregunta Sala Quinta de Revisión</w:t>
            </w:r>
          </w:p>
        </w:tc>
        <w:tc>
          <w:tcPr>
            <w:tcW w:w="5311" w:type="dxa"/>
            <w:shd w:val="clear" w:color="auto" w:fill="CBD3DE"/>
            <w:vAlign w:val="center"/>
          </w:tcPr>
          <w:p w:rsidR="00C36B4C" w:rsidRPr="00030313" w:rsidRDefault="00030313" w:rsidP="00030313">
            <w:pPr>
              <w:spacing w:after="0" w:line="240" w:lineRule="auto"/>
              <w:ind w:right="-66"/>
              <w:jc w:val="center"/>
              <w:rPr>
                <w:rFonts w:ascii="Times New Roman" w:hAnsi="Times New Roman"/>
                <w:b/>
                <w:bCs/>
                <w:sz w:val="28"/>
              </w:rPr>
            </w:pPr>
            <w:r w:rsidRPr="00030313">
              <w:rPr>
                <w:rFonts w:ascii="Times New Roman" w:hAnsi="Times New Roman"/>
                <w:b/>
                <w:bCs/>
                <w:sz w:val="28"/>
              </w:rPr>
              <w:t xml:space="preserve">Respuesta </w:t>
            </w:r>
            <w:r w:rsidRPr="00030313">
              <w:rPr>
                <w:rFonts w:ascii="Times New Roman" w:hAnsi="Times New Roman"/>
                <w:b/>
                <w:bCs/>
                <w:sz w:val="28"/>
              </w:rPr>
              <w:t>Registraduría Nacional del Estado Civi</w:t>
            </w:r>
            <w:r w:rsidRPr="00030313">
              <w:rPr>
                <w:rFonts w:ascii="Times New Roman" w:hAnsi="Times New Roman"/>
                <w:b/>
                <w:bCs/>
                <w:sz w:val="28"/>
              </w:rPr>
              <w:t>l</w:t>
            </w:r>
          </w:p>
        </w:tc>
      </w:tr>
      <w:tr w:rsidR="00C36B4C" w:rsidRPr="00030313" w:rsidTr="00030313">
        <w:tc>
          <w:tcPr>
            <w:tcW w:w="3519" w:type="dxa"/>
            <w:shd w:val="clear" w:color="auto" w:fill="auto"/>
            <w:vAlign w:val="center"/>
          </w:tcPr>
          <w:p w:rsidR="00C36B4C" w:rsidRPr="00030313" w:rsidRDefault="00030313" w:rsidP="00030313">
            <w:pPr>
              <w:spacing w:after="0" w:line="240" w:lineRule="auto"/>
              <w:jc w:val="both"/>
              <w:rPr>
                <w:rFonts w:ascii="Times New Roman" w:hAnsi="Times New Roman"/>
                <w:sz w:val="28"/>
              </w:rPr>
            </w:pPr>
            <w:r w:rsidRPr="00030313">
              <w:rPr>
                <w:rFonts w:ascii="Times New Roman" w:hAnsi="Times New Roman"/>
                <w:sz w:val="28"/>
              </w:rPr>
              <w:t>¿A la</w:t>
            </w:r>
            <w:r w:rsidRPr="00030313">
              <w:rPr>
                <w:rFonts w:ascii="Times New Roman" w:hAnsi="Times New Roman"/>
                <w:sz w:val="28"/>
              </w:rPr>
              <w:t xml:space="preserve"> fecha, la cédula de ciudadanía digital es esencial para el acceso a la oferta de servicios públicos del Estado? ¿Cuál es su actual relevancia jurídica y hacia futuro qué se pretende con este medio de identificación de la población?</w:t>
            </w:r>
          </w:p>
        </w:tc>
        <w:tc>
          <w:tcPr>
            <w:tcW w:w="5311" w:type="dxa"/>
            <w:shd w:val="clear" w:color="auto" w:fill="auto"/>
            <w:vAlign w:val="center"/>
          </w:tcPr>
          <w:p w:rsidR="00C36B4C" w:rsidRPr="00030313" w:rsidRDefault="00030313" w:rsidP="00030313">
            <w:pPr>
              <w:spacing w:after="0" w:line="240" w:lineRule="auto"/>
              <w:jc w:val="both"/>
              <w:rPr>
                <w:rFonts w:ascii="Times New Roman" w:hAnsi="Times New Roman"/>
                <w:sz w:val="28"/>
              </w:rPr>
            </w:pPr>
            <w:r w:rsidRPr="00030313">
              <w:rPr>
                <w:rFonts w:ascii="Times New Roman" w:hAnsi="Times New Roman"/>
                <w:sz w:val="28"/>
              </w:rPr>
              <w:t>La cédula digital no es</w:t>
            </w:r>
            <w:r w:rsidRPr="00030313">
              <w:rPr>
                <w:rFonts w:ascii="Times New Roman" w:hAnsi="Times New Roman"/>
                <w:sz w:val="28"/>
              </w:rPr>
              <w:t xml:space="preserve"> esencial para el acceso a la oferta de servicios públicos del Estado, ya que los ciudadanos pueden utilizar la cédula amarilla con hologramas para acreditar su identidad. Actualmente, </w:t>
            </w:r>
            <w:r w:rsidRPr="00030313">
              <w:rPr>
                <w:rFonts w:ascii="Times New Roman" w:hAnsi="Times New Roman"/>
                <w:sz w:val="28"/>
              </w:rPr>
              <w:t>los ciudadanos pueden acceder al duplicado de esta cédula. Adicionalmen</w:t>
            </w:r>
            <w:r w:rsidRPr="00030313">
              <w:rPr>
                <w:rFonts w:ascii="Times New Roman" w:hAnsi="Times New Roman"/>
                <w:sz w:val="28"/>
              </w:rPr>
              <w:t xml:space="preserve">te, </w:t>
            </w:r>
            <w:r w:rsidRPr="00030313">
              <w:rPr>
                <w:rFonts w:ascii="Times New Roman" w:hAnsi="Times New Roman"/>
                <w:sz w:val="28"/>
              </w:rPr>
              <w:t xml:space="preserve">aclaró que la cédula digital es jurídicamente equivalente a la cédula amarilla con hologramas, sin que la sustituya o la elimine. </w:t>
            </w:r>
            <w:r w:rsidRPr="00030313">
              <w:rPr>
                <w:rFonts w:ascii="Times New Roman" w:hAnsi="Times New Roman"/>
                <w:sz w:val="28"/>
              </w:rPr>
              <w:t>La cédula en formato digital le permite a los ciudadanos ejercer derechos en el tráfico jurídico digital de manera integra</w:t>
            </w:r>
            <w:r w:rsidRPr="00030313">
              <w:rPr>
                <w:rFonts w:ascii="Times New Roman" w:hAnsi="Times New Roman"/>
                <w:sz w:val="28"/>
              </w:rPr>
              <w:t xml:space="preserve">da como fórmula de accesibilidad y garantía de aprovechamiento de las tecnologías de la información y las comunicaciones. </w:t>
            </w:r>
            <w:r w:rsidRPr="00030313">
              <w:rPr>
                <w:rFonts w:ascii="Times New Roman" w:hAnsi="Times New Roman"/>
                <w:sz w:val="28"/>
              </w:rPr>
              <w:t xml:space="preserve">La identificación por medios digitales favorece la seguridad del ecosistema digital en Colombia. </w:t>
            </w:r>
            <w:r w:rsidRPr="00030313">
              <w:rPr>
                <w:rFonts w:ascii="Times New Roman" w:hAnsi="Times New Roman"/>
                <w:sz w:val="28"/>
              </w:rPr>
              <w:t xml:space="preserve">La relevancia jurídica de este nuevo </w:t>
            </w:r>
            <w:r w:rsidRPr="00030313">
              <w:rPr>
                <w:rFonts w:ascii="Times New Roman" w:hAnsi="Times New Roman"/>
                <w:sz w:val="28"/>
              </w:rPr>
              <w:t>formato de identificación es evitar la suplantación de identidad</w:t>
            </w:r>
            <w:r w:rsidRPr="00030313">
              <w:rPr>
                <w:rFonts w:ascii="Times New Roman" w:hAnsi="Times New Roman"/>
                <w:sz w:val="28"/>
              </w:rPr>
              <w:t xml:space="preserve"> y facilitar autenticación biométrica facial del ciudadano. </w:t>
            </w:r>
            <w:r w:rsidRPr="00030313">
              <w:rPr>
                <w:rFonts w:ascii="Times New Roman" w:hAnsi="Times New Roman"/>
                <w:sz w:val="28"/>
              </w:rPr>
              <w:t xml:space="preserve">La </w:t>
            </w:r>
            <w:r w:rsidRPr="00030313">
              <w:rPr>
                <w:rFonts w:ascii="Times New Roman" w:hAnsi="Times New Roman"/>
                <w:sz w:val="28"/>
              </w:rPr>
              <w:t xml:space="preserve">cédula digital se incorporó en el sector de la administración pública como respuesta a la transformación digital, en los términos del artículo 147 de la Ley 1955 de 2019. </w:t>
            </w:r>
          </w:p>
        </w:tc>
      </w:tr>
      <w:tr w:rsidR="00C36B4C" w:rsidRPr="00030313" w:rsidTr="00030313">
        <w:tc>
          <w:tcPr>
            <w:tcW w:w="3519" w:type="dxa"/>
            <w:shd w:val="clear" w:color="auto" w:fill="auto"/>
            <w:vAlign w:val="center"/>
          </w:tcPr>
          <w:p w:rsidR="00C36B4C" w:rsidRPr="00030313" w:rsidRDefault="00030313" w:rsidP="00030313">
            <w:pPr>
              <w:spacing w:after="0" w:line="240" w:lineRule="auto"/>
              <w:jc w:val="both"/>
              <w:rPr>
                <w:rFonts w:ascii="Times New Roman" w:hAnsi="Times New Roman"/>
                <w:sz w:val="28"/>
              </w:rPr>
            </w:pPr>
            <w:r w:rsidRPr="00030313">
              <w:rPr>
                <w:rFonts w:ascii="Times New Roman" w:hAnsi="Times New Roman"/>
                <w:sz w:val="28"/>
              </w:rPr>
              <w:t xml:space="preserve">Si en la cédula digital no se cuenta con la posibilidad de identificación sexo no binario, ¿cuál ha sido el impacto de la expedición de la cédula de ciudadanía digital para estas personas respecto del acceso de bienes y servicios del Estado con esta nueva </w:t>
            </w:r>
            <w:r w:rsidRPr="00030313">
              <w:rPr>
                <w:rFonts w:ascii="Times New Roman" w:hAnsi="Times New Roman"/>
                <w:sz w:val="28"/>
              </w:rPr>
              <w:t xml:space="preserve">modalidad de identificación? </w:t>
            </w:r>
          </w:p>
        </w:tc>
        <w:tc>
          <w:tcPr>
            <w:tcW w:w="5311" w:type="dxa"/>
            <w:shd w:val="clear" w:color="auto" w:fill="auto"/>
            <w:vAlign w:val="center"/>
          </w:tcPr>
          <w:p w:rsidR="00C36B4C" w:rsidRPr="00030313" w:rsidRDefault="00030313" w:rsidP="00030313">
            <w:pPr>
              <w:spacing w:after="0" w:line="240" w:lineRule="auto"/>
              <w:jc w:val="both"/>
              <w:rPr>
                <w:rFonts w:ascii="Times New Roman" w:hAnsi="Times New Roman"/>
                <w:sz w:val="28"/>
              </w:rPr>
            </w:pPr>
            <w:r w:rsidRPr="00030313">
              <w:rPr>
                <w:rFonts w:ascii="Times New Roman" w:hAnsi="Times New Roman"/>
                <w:sz w:val="28"/>
              </w:rPr>
              <w:t xml:space="preserve">El impacto del desarrollo y entrada en servicio de la expedición de la cédula de ciudadanía en </w:t>
            </w:r>
            <w:r w:rsidRPr="00030313">
              <w:rPr>
                <w:rFonts w:ascii="Times New Roman" w:hAnsi="Times New Roman"/>
                <w:sz w:val="28"/>
              </w:rPr>
              <w:t xml:space="preserve">la </w:t>
            </w:r>
            <w:r w:rsidRPr="00030313">
              <w:rPr>
                <w:rFonts w:ascii="Times New Roman" w:hAnsi="Times New Roman"/>
                <w:sz w:val="28"/>
              </w:rPr>
              <w:t>población colombiana es positivo, ya que integra y es interoperable en el ecosistema digital -público y privado-, con lo cual se</w:t>
            </w:r>
            <w:r w:rsidRPr="00030313">
              <w:rPr>
                <w:rFonts w:ascii="Times New Roman" w:hAnsi="Times New Roman"/>
                <w:sz w:val="28"/>
              </w:rPr>
              <w:t xml:space="preserve"> permite al titular el ejercicio de </w:t>
            </w:r>
            <w:r w:rsidRPr="00030313">
              <w:rPr>
                <w:rFonts w:ascii="Times New Roman" w:hAnsi="Times New Roman"/>
                <w:sz w:val="28"/>
              </w:rPr>
              <w:t>sus</w:t>
            </w:r>
            <w:r w:rsidRPr="00030313">
              <w:rPr>
                <w:rFonts w:ascii="Times New Roman" w:hAnsi="Times New Roman"/>
                <w:sz w:val="28"/>
              </w:rPr>
              <w:t xml:space="preserve"> derechos. </w:t>
            </w:r>
          </w:p>
        </w:tc>
      </w:tr>
      <w:tr w:rsidR="00C36B4C" w:rsidRPr="00030313" w:rsidTr="00030313">
        <w:tc>
          <w:tcPr>
            <w:tcW w:w="3519" w:type="dxa"/>
            <w:shd w:val="clear" w:color="auto" w:fill="auto"/>
            <w:vAlign w:val="center"/>
          </w:tcPr>
          <w:p w:rsidR="00C36B4C" w:rsidRPr="00030313" w:rsidRDefault="00030313" w:rsidP="00030313">
            <w:pPr>
              <w:spacing w:after="0" w:line="240" w:lineRule="auto"/>
              <w:jc w:val="both"/>
              <w:rPr>
                <w:rFonts w:ascii="Times New Roman" w:hAnsi="Times New Roman"/>
                <w:sz w:val="28"/>
              </w:rPr>
            </w:pPr>
            <w:r w:rsidRPr="00030313">
              <w:rPr>
                <w:rFonts w:ascii="Times New Roman" w:hAnsi="Times New Roman"/>
                <w:sz w:val="28"/>
              </w:rPr>
              <w:t>Indique cuál es el número de trámites represados por parte de la Registraduría Nacional del Estado Civil respecto de las solicitudes ciudadanas relacionadas con el cambio de la marcación de identificación</w:t>
            </w:r>
            <w:r w:rsidRPr="00030313">
              <w:rPr>
                <w:rFonts w:ascii="Times New Roman" w:hAnsi="Times New Roman"/>
                <w:sz w:val="28"/>
              </w:rPr>
              <w:t xml:space="preserve"> de sexo de femenino o masculino a “No Binario” en lo relativo a la cédula digital. De presentarse este represamiento, explique cuáles son las razones para la dilación en la solución de fondo de tales solicitudes.</w:t>
            </w:r>
          </w:p>
        </w:tc>
        <w:tc>
          <w:tcPr>
            <w:tcW w:w="5311" w:type="dxa"/>
            <w:shd w:val="clear" w:color="auto" w:fill="auto"/>
            <w:vAlign w:val="center"/>
          </w:tcPr>
          <w:p w:rsidR="00C36B4C" w:rsidRPr="00030313" w:rsidRDefault="00030313" w:rsidP="00030313">
            <w:pPr>
              <w:adjustRightInd w:val="0"/>
              <w:spacing w:after="0" w:line="240" w:lineRule="auto"/>
              <w:jc w:val="both"/>
              <w:rPr>
                <w:rFonts w:ascii="Times New Roman" w:hAnsi="Times New Roman"/>
                <w:sz w:val="28"/>
              </w:rPr>
            </w:pPr>
            <w:r w:rsidRPr="00030313">
              <w:rPr>
                <w:rFonts w:ascii="Times New Roman" w:hAnsi="Times New Roman"/>
                <w:sz w:val="28"/>
              </w:rPr>
              <w:t>La Registraduría Nacional del Estado Civil</w:t>
            </w:r>
            <w:r w:rsidRPr="00030313">
              <w:rPr>
                <w:rFonts w:ascii="Times New Roman" w:hAnsi="Times New Roman"/>
                <w:sz w:val="28"/>
              </w:rPr>
              <w:t xml:space="preserve">, en la actualidad, no tiene trámites </w:t>
            </w:r>
            <w:r w:rsidRPr="00030313">
              <w:rPr>
                <w:rFonts w:ascii="Times New Roman" w:hAnsi="Times New Roman"/>
                <w:sz w:val="28"/>
              </w:rPr>
              <w:t>represados</w:t>
            </w:r>
            <w:r w:rsidRPr="00030313">
              <w:rPr>
                <w:rFonts w:ascii="Times New Roman" w:hAnsi="Times New Roman"/>
                <w:sz w:val="28"/>
              </w:rPr>
              <w:t xml:space="preserve"> de expedición de cédula de ciudadanía digital. </w:t>
            </w:r>
            <w:r w:rsidRPr="00030313">
              <w:rPr>
                <w:rFonts w:ascii="Times New Roman" w:hAnsi="Times New Roman"/>
                <w:sz w:val="28"/>
              </w:rPr>
              <w:t>La entidad ha sido clara en explicar</w:t>
            </w:r>
            <w:r w:rsidRPr="00030313">
              <w:rPr>
                <w:rFonts w:ascii="Times New Roman" w:hAnsi="Times New Roman"/>
                <w:sz w:val="28"/>
              </w:rPr>
              <w:t xml:space="preserve"> a</w:t>
            </w:r>
            <w:r w:rsidRPr="00030313">
              <w:rPr>
                <w:rFonts w:ascii="Times New Roman" w:hAnsi="Times New Roman"/>
                <w:sz w:val="28"/>
              </w:rPr>
              <w:t xml:space="preserve"> la ciudadanía el proceso que se debe surtir para </w:t>
            </w:r>
            <w:r w:rsidRPr="00030313">
              <w:rPr>
                <w:rFonts w:ascii="Times New Roman" w:hAnsi="Times New Roman"/>
                <w:sz w:val="28"/>
              </w:rPr>
              <w:t>modificar el componente sexo en el documento de identidad con los marcad</w:t>
            </w:r>
            <w:r w:rsidRPr="00030313">
              <w:rPr>
                <w:rFonts w:ascii="Times New Roman" w:hAnsi="Times New Roman"/>
                <w:sz w:val="28"/>
              </w:rPr>
              <w:t xml:space="preserve">ores “M”, “F” y “NB”. </w:t>
            </w:r>
            <w:r w:rsidRPr="00030313">
              <w:rPr>
                <w:rFonts w:ascii="Times New Roman" w:hAnsi="Times New Roman"/>
                <w:sz w:val="28"/>
              </w:rPr>
              <w:t>Refirió que de conformidad con el Decreto 1227 de 2015 y el artículo 94 del Decreto 1260 de 1970 modificado por el artículo 6 del Decreto 999 del 1988, la corrección del componente sexo en el registro civil de nacimiento debe realizar</w:t>
            </w:r>
            <w:r w:rsidRPr="00030313">
              <w:rPr>
                <w:rFonts w:ascii="Times New Roman" w:hAnsi="Times New Roman"/>
                <w:sz w:val="28"/>
              </w:rPr>
              <w:t xml:space="preserve">se </w:t>
            </w:r>
            <w:r w:rsidRPr="00030313">
              <w:rPr>
                <w:rFonts w:ascii="Times New Roman" w:hAnsi="Times New Roman"/>
                <w:sz w:val="28"/>
              </w:rPr>
              <w:t xml:space="preserve">ante un Notario mediante escritura pública. </w:t>
            </w:r>
            <w:r w:rsidRPr="00030313">
              <w:rPr>
                <w:rFonts w:ascii="Times New Roman" w:hAnsi="Times New Roman"/>
                <w:sz w:val="28"/>
              </w:rPr>
              <w:t>Luego, se procede</w:t>
            </w:r>
            <w:r w:rsidRPr="00030313">
              <w:rPr>
                <w:rFonts w:ascii="Times New Roman" w:hAnsi="Times New Roman"/>
                <w:sz w:val="28"/>
              </w:rPr>
              <w:t>r</w:t>
            </w:r>
            <w:r w:rsidRPr="00030313">
              <w:rPr>
                <w:rFonts w:ascii="Times New Roman" w:hAnsi="Times New Roman"/>
                <w:sz w:val="28"/>
              </w:rPr>
              <w:t>á a reemplazar el registro civil de nacimiento</w:t>
            </w:r>
            <w:r w:rsidRPr="00030313">
              <w:rPr>
                <w:rFonts w:ascii="Times New Roman" w:hAnsi="Times New Roman"/>
                <w:sz w:val="28"/>
              </w:rPr>
              <w:t xml:space="preserve"> en el espacio </w:t>
            </w:r>
            <w:r w:rsidRPr="00030313">
              <w:rPr>
                <w:rFonts w:ascii="Times New Roman" w:hAnsi="Times New Roman"/>
                <w:sz w:val="28"/>
              </w:rPr>
              <w:t>para sexo Femenino, Masculino o No Binario</w:t>
            </w:r>
            <w:r w:rsidRPr="00030313">
              <w:rPr>
                <w:rFonts w:ascii="Times New Roman" w:hAnsi="Times New Roman"/>
                <w:sz w:val="28"/>
              </w:rPr>
              <w:t xml:space="preserve">, mediante la apertura de un nuevo serial ante una Registraduría, Notaría o Consulado. </w:t>
            </w:r>
            <w:r w:rsidRPr="00030313">
              <w:rPr>
                <w:rFonts w:ascii="Times New Roman" w:hAnsi="Times New Roman"/>
                <w:sz w:val="28"/>
              </w:rPr>
              <w:t xml:space="preserve">Luego, la persona interesada tendrá que acudir a cualquier Registraduría, con la cédula de ciudadanía, el registro civil de nacimiento modificado con la corrección del componente sexo y el comprobante de pago por concepto de trámite de rectificación. </w:t>
            </w:r>
            <w:r w:rsidRPr="00030313">
              <w:rPr>
                <w:rFonts w:ascii="Times New Roman" w:hAnsi="Times New Roman"/>
                <w:sz w:val="28"/>
              </w:rPr>
              <w:t>Señal</w:t>
            </w:r>
            <w:r w:rsidRPr="00030313">
              <w:rPr>
                <w:rFonts w:ascii="Times New Roman" w:hAnsi="Times New Roman"/>
                <w:sz w:val="28"/>
              </w:rPr>
              <w:t xml:space="preserve">ó que el componente de sexo “No Binario” fue incluido en 2022 en cumplimiento de la Sentencia </w:t>
            </w:r>
            <w:r w:rsidRPr="00030313">
              <w:rPr>
                <w:rFonts w:ascii="Times New Roman" w:hAnsi="Times New Roman"/>
                <w:sz w:val="28"/>
              </w:rPr>
              <w:t xml:space="preserve">T-033 de 2022 de la Corte Constitucional. </w:t>
            </w:r>
            <w:r w:rsidRPr="00030313">
              <w:rPr>
                <w:rFonts w:ascii="Times New Roman" w:hAnsi="Times New Roman"/>
                <w:sz w:val="28"/>
              </w:rPr>
              <w:t xml:space="preserve">Agregó que </w:t>
            </w:r>
            <w:r w:rsidRPr="00030313">
              <w:rPr>
                <w:rFonts w:ascii="Times New Roman" w:hAnsi="Times New Roman"/>
                <w:sz w:val="28"/>
              </w:rPr>
              <w:t xml:space="preserve">la Registraduría requiere optimizar los procesos </w:t>
            </w:r>
            <w:r w:rsidRPr="00030313">
              <w:rPr>
                <w:rFonts w:ascii="Times New Roman" w:hAnsi="Times New Roman"/>
                <w:sz w:val="28"/>
              </w:rPr>
              <w:t>y servicios que constitucionalmente ejerce, por lo que</w:t>
            </w:r>
            <w:r w:rsidRPr="00030313">
              <w:rPr>
                <w:rFonts w:ascii="Times New Roman" w:hAnsi="Times New Roman"/>
                <w:sz w:val="28"/>
              </w:rPr>
              <w:t>,</w:t>
            </w:r>
            <w:r w:rsidRPr="00030313">
              <w:rPr>
                <w:rFonts w:ascii="Times New Roman" w:hAnsi="Times New Roman"/>
                <w:sz w:val="28"/>
              </w:rPr>
              <w:t xml:space="preserve"> en v</w:t>
            </w:r>
            <w:r w:rsidRPr="00030313">
              <w:rPr>
                <w:rFonts w:ascii="Times New Roman" w:hAnsi="Times New Roman"/>
                <w:sz w:val="28"/>
              </w:rPr>
              <w:t xml:space="preserve">igencia de 2023, se inscribió un proyecto de inversión </w:t>
            </w:r>
            <w:r w:rsidRPr="00030313">
              <w:rPr>
                <w:rFonts w:ascii="Times New Roman" w:hAnsi="Times New Roman"/>
                <w:sz w:val="28"/>
              </w:rPr>
              <w:t>denominado “Fortalecimiento de la Plataforma Tecnológico que Soporta el Sistema de Identificación y Registro Civil PMT II</w:t>
            </w:r>
            <w:r w:rsidRPr="00030313">
              <w:rPr>
                <w:rFonts w:ascii="Times New Roman" w:hAnsi="Times New Roman"/>
                <w:sz w:val="28"/>
              </w:rPr>
              <w:t>, vigencia 2024”</w:t>
            </w:r>
            <w:r w:rsidRPr="00030313">
              <w:rPr>
                <w:rFonts w:ascii="Times New Roman" w:hAnsi="Times New Roman"/>
                <w:sz w:val="28"/>
              </w:rPr>
              <w:t>,</w:t>
            </w:r>
            <w:r w:rsidRPr="00030313">
              <w:rPr>
                <w:rFonts w:ascii="Times New Roman" w:hAnsi="Times New Roman"/>
                <w:sz w:val="28"/>
              </w:rPr>
              <w:t xml:space="preserve"> en el cual se incluyó la actividad “1 Robustecer la plataforma</w:t>
            </w:r>
            <w:r w:rsidRPr="00030313">
              <w:rPr>
                <w:rFonts w:ascii="Times New Roman" w:hAnsi="Times New Roman"/>
                <w:sz w:val="28"/>
              </w:rPr>
              <w:t xml:space="preserve"> tecnológica” con la subactividad “16. Ajustes que permitan la inclusión de datos adicionales en el campo ‘sexo’ y nuevos campos en el ID Digital”, </w:t>
            </w:r>
            <w:r w:rsidRPr="00030313">
              <w:rPr>
                <w:rFonts w:ascii="Times New Roman" w:hAnsi="Times New Roman"/>
                <w:sz w:val="28"/>
              </w:rPr>
              <w:t>que</w:t>
            </w:r>
            <w:r w:rsidRPr="00030313">
              <w:rPr>
                <w:rFonts w:ascii="Times New Roman" w:hAnsi="Times New Roman"/>
                <w:sz w:val="28"/>
              </w:rPr>
              <w:t xml:space="preserve"> se presentó ante el Departamento Nacional de Planeación. </w:t>
            </w:r>
          </w:p>
          <w:p w:rsidR="00994BDE" w:rsidRPr="00030313" w:rsidRDefault="00030313" w:rsidP="00030313">
            <w:pPr>
              <w:adjustRightInd w:val="0"/>
              <w:spacing w:after="0" w:line="240" w:lineRule="auto"/>
              <w:jc w:val="both"/>
              <w:rPr>
                <w:rFonts w:ascii="Times New Roman" w:hAnsi="Times New Roman"/>
                <w:sz w:val="28"/>
              </w:rPr>
            </w:pPr>
          </w:p>
          <w:p w:rsidR="00994BDE" w:rsidRPr="00030313" w:rsidRDefault="00030313" w:rsidP="00030313">
            <w:pPr>
              <w:adjustRightInd w:val="0"/>
              <w:spacing w:after="0" w:line="240" w:lineRule="auto"/>
              <w:jc w:val="both"/>
              <w:rPr>
                <w:rFonts w:ascii="Times New Roman" w:hAnsi="Times New Roman"/>
                <w:sz w:val="28"/>
              </w:rPr>
            </w:pPr>
            <w:r w:rsidRPr="00030313">
              <w:rPr>
                <w:rFonts w:ascii="Times New Roman" w:hAnsi="Times New Roman"/>
                <w:sz w:val="28"/>
              </w:rPr>
              <w:t>Aseguró que “</w:t>
            </w:r>
            <w:r w:rsidRPr="00030313">
              <w:rPr>
                <w:rFonts w:ascii="Times New Roman" w:hAnsi="Times New Roman"/>
                <w:i/>
                <w:iCs/>
                <w:sz w:val="28"/>
              </w:rPr>
              <w:t xml:space="preserve">[l]a rectificación </w:t>
            </w:r>
            <w:r w:rsidRPr="00030313">
              <w:rPr>
                <w:rFonts w:ascii="Times New Roman" w:hAnsi="Times New Roman"/>
                <w:i/>
                <w:iCs/>
                <w:sz w:val="28"/>
              </w:rPr>
              <w:t>por correcció</w:t>
            </w:r>
            <w:r w:rsidRPr="00030313">
              <w:rPr>
                <w:rFonts w:ascii="Times New Roman" w:hAnsi="Times New Roman"/>
                <w:i/>
                <w:iCs/>
                <w:sz w:val="28"/>
              </w:rPr>
              <w:t xml:space="preserve">n del componente sexo por el marcador NO BINARIO (NB) solo se aplicará a la </w:t>
            </w:r>
            <w:r w:rsidRPr="00030313">
              <w:rPr>
                <w:rFonts w:ascii="Times New Roman" w:hAnsi="Times New Roman"/>
                <w:b/>
                <w:bCs/>
                <w:i/>
                <w:iCs/>
                <w:sz w:val="28"/>
                <w:u w:val="single"/>
              </w:rPr>
              <w:t>cédula amarilla con holograma.</w:t>
            </w:r>
            <w:r w:rsidRPr="00030313">
              <w:rPr>
                <w:rFonts w:ascii="Times New Roman" w:hAnsi="Times New Roman"/>
                <w:i/>
                <w:iCs/>
                <w:sz w:val="28"/>
              </w:rPr>
              <w:t>”</w:t>
            </w:r>
            <w:r w:rsidRPr="00030313">
              <w:rPr>
                <w:rStyle w:val="Refdenotaalpie"/>
                <w:rFonts w:ascii="Times New Roman" w:hAnsi="Times New Roman"/>
                <w:sz w:val="28"/>
              </w:rPr>
              <w:footnoteReference w:id="21"/>
            </w:r>
            <w:r w:rsidRPr="00030313">
              <w:rPr>
                <w:rFonts w:ascii="Times New Roman" w:hAnsi="Times New Roman"/>
                <w:sz w:val="28"/>
              </w:rPr>
              <w:t xml:space="preserve"> Además, agregó que desd</w:t>
            </w:r>
            <w:r w:rsidRPr="00030313">
              <w:rPr>
                <w:rFonts w:ascii="Times New Roman" w:hAnsi="Times New Roman"/>
                <w:sz w:val="28"/>
              </w:rPr>
              <w:t>e la publicación de la Sentencia T-033 de 2022, la Registraduría ha expedido</w:t>
            </w:r>
            <w:r w:rsidRPr="00030313">
              <w:rPr>
                <w:rFonts w:ascii="Times New Roman" w:hAnsi="Times New Roman"/>
                <w:sz w:val="28"/>
              </w:rPr>
              <w:t xml:space="preserve"> cédulas de ciudadanía con el marcador sexo “NB” en las cédulas amarillas de hologramas. </w:t>
            </w:r>
          </w:p>
        </w:tc>
      </w:tr>
      <w:tr w:rsidR="00C36B4C" w:rsidRPr="00030313" w:rsidTr="00030313">
        <w:tc>
          <w:tcPr>
            <w:tcW w:w="3519" w:type="dxa"/>
            <w:shd w:val="clear" w:color="auto" w:fill="auto"/>
            <w:vAlign w:val="center"/>
          </w:tcPr>
          <w:p w:rsidR="00C36B4C" w:rsidRPr="00030313" w:rsidRDefault="00030313" w:rsidP="00030313">
            <w:pPr>
              <w:spacing w:after="0" w:line="240" w:lineRule="auto"/>
              <w:jc w:val="both"/>
              <w:rPr>
                <w:rFonts w:ascii="Times New Roman" w:hAnsi="Times New Roman"/>
                <w:sz w:val="28"/>
              </w:rPr>
            </w:pPr>
            <w:r w:rsidRPr="00030313">
              <w:rPr>
                <w:rFonts w:ascii="Times New Roman" w:hAnsi="Times New Roman"/>
                <w:sz w:val="28"/>
              </w:rPr>
              <w:t>En la Sentencia T-033 de 2022, la Corte Constitucional exhortó a la Registraduría Nacional del Estado Civil a que disponga de lo necesario para poner en marc</w:t>
            </w:r>
            <w:r w:rsidRPr="00030313">
              <w:rPr>
                <w:rFonts w:ascii="Times New Roman" w:hAnsi="Times New Roman"/>
                <w:sz w:val="28"/>
              </w:rPr>
              <w:t>h</w:t>
            </w:r>
            <w:r w:rsidRPr="00030313">
              <w:rPr>
                <w:rFonts w:ascii="Times New Roman" w:hAnsi="Times New Roman"/>
                <w:sz w:val="28"/>
              </w:rPr>
              <w:t>a el es</w:t>
            </w:r>
            <w:r w:rsidRPr="00030313">
              <w:rPr>
                <w:rFonts w:ascii="Times New Roman" w:hAnsi="Times New Roman"/>
                <w:sz w:val="28"/>
              </w:rPr>
              <w:t xml:space="preserve">quema de identificación de la marcación “No Binario” entre las categorías de sexo en el esquema de identificación ciudadana.1 Explique qué actuaciones se </w:t>
            </w:r>
            <w:r w:rsidRPr="00030313">
              <w:rPr>
                <w:rFonts w:ascii="Times New Roman" w:hAnsi="Times New Roman"/>
                <w:sz w:val="28"/>
              </w:rPr>
              <w:t>han adelantado con fundamento en dicha providencia y cuál es el estado de avance para lograr la marcac</w:t>
            </w:r>
            <w:r w:rsidRPr="00030313">
              <w:rPr>
                <w:rFonts w:ascii="Times New Roman" w:hAnsi="Times New Roman"/>
                <w:sz w:val="28"/>
              </w:rPr>
              <w:t xml:space="preserve">ión No Binario entre las categorías de sexo de la cédula digital. </w:t>
            </w:r>
            <w:r w:rsidRPr="00030313">
              <w:rPr>
                <w:rFonts w:ascii="Times New Roman" w:hAnsi="Times New Roman"/>
                <w:sz w:val="28"/>
              </w:rPr>
              <w:t xml:space="preserve"> </w:t>
            </w:r>
          </w:p>
        </w:tc>
        <w:tc>
          <w:tcPr>
            <w:tcW w:w="5311" w:type="dxa"/>
            <w:shd w:val="clear" w:color="auto" w:fill="auto"/>
            <w:vAlign w:val="center"/>
          </w:tcPr>
          <w:p w:rsidR="00BD2DA3" w:rsidRPr="00030313" w:rsidRDefault="00030313" w:rsidP="00030313">
            <w:pPr>
              <w:adjustRightInd w:val="0"/>
              <w:spacing w:after="0" w:line="240" w:lineRule="auto"/>
              <w:jc w:val="both"/>
              <w:rPr>
                <w:rFonts w:ascii="Times New Roman" w:hAnsi="Times New Roman"/>
                <w:sz w:val="28"/>
              </w:rPr>
            </w:pPr>
            <w:r w:rsidRPr="00030313">
              <w:rPr>
                <w:rFonts w:ascii="Times New Roman" w:hAnsi="Times New Roman"/>
                <w:sz w:val="28"/>
              </w:rPr>
              <w:t>La Registraduría cumplió la orden judicial de la Corte Constitucional</w:t>
            </w:r>
            <w:r w:rsidRPr="00030313">
              <w:rPr>
                <w:rFonts w:ascii="Times New Roman" w:hAnsi="Times New Roman"/>
                <w:sz w:val="28"/>
              </w:rPr>
              <w:t xml:space="preserve"> al adelantar gestiones: </w:t>
            </w:r>
            <w:r w:rsidRPr="00030313">
              <w:rPr>
                <w:rFonts w:ascii="Times New Roman" w:hAnsi="Times New Roman"/>
                <w:i/>
                <w:iCs/>
                <w:sz w:val="28"/>
              </w:rPr>
              <w:t xml:space="preserve">(i) </w:t>
            </w:r>
            <w:r w:rsidRPr="00030313">
              <w:rPr>
                <w:rFonts w:ascii="Times New Roman" w:hAnsi="Times New Roman"/>
                <w:sz w:val="28"/>
              </w:rPr>
              <w:t xml:space="preserve">en materia tecnológica, </w:t>
            </w:r>
            <w:r w:rsidRPr="00030313">
              <w:rPr>
                <w:rFonts w:ascii="Times New Roman" w:hAnsi="Times New Roman"/>
                <w:i/>
                <w:iCs/>
                <w:sz w:val="28"/>
              </w:rPr>
              <w:t xml:space="preserve">(ii) </w:t>
            </w:r>
            <w:r w:rsidRPr="00030313">
              <w:rPr>
                <w:rFonts w:ascii="Times New Roman" w:hAnsi="Times New Roman"/>
                <w:sz w:val="28"/>
              </w:rPr>
              <w:t xml:space="preserve">expedición de documento físico e </w:t>
            </w:r>
            <w:r w:rsidRPr="00030313">
              <w:rPr>
                <w:rFonts w:ascii="Times New Roman" w:hAnsi="Times New Roman"/>
                <w:i/>
                <w:iCs/>
                <w:sz w:val="28"/>
              </w:rPr>
              <w:t xml:space="preserve">(iii) </w:t>
            </w:r>
            <w:r w:rsidRPr="00030313">
              <w:rPr>
                <w:rFonts w:ascii="Times New Roman" w:hAnsi="Times New Roman"/>
                <w:sz w:val="28"/>
              </w:rPr>
              <w:t>incorporación reglamen</w:t>
            </w:r>
            <w:r w:rsidRPr="00030313">
              <w:rPr>
                <w:rFonts w:ascii="Times New Roman" w:hAnsi="Times New Roman"/>
                <w:sz w:val="28"/>
              </w:rPr>
              <w:t xml:space="preserve">taria en los procedimientos del trámite de cambio en el componente sexo. </w:t>
            </w:r>
          </w:p>
          <w:p w:rsidR="00BD2DA3" w:rsidRPr="00030313" w:rsidRDefault="00030313" w:rsidP="00030313">
            <w:pPr>
              <w:adjustRightInd w:val="0"/>
              <w:spacing w:after="0" w:line="240" w:lineRule="auto"/>
              <w:jc w:val="both"/>
              <w:rPr>
                <w:rFonts w:ascii="Times New Roman" w:hAnsi="Times New Roman"/>
                <w:sz w:val="28"/>
              </w:rPr>
            </w:pPr>
          </w:p>
          <w:p w:rsidR="00C36B4C" w:rsidRPr="00030313" w:rsidRDefault="00030313" w:rsidP="00030313">
            <w:pPr>
              <w:adjustRightInd w:val="0"/>
              <w:spacing w:after="0" w:line="240" w:lineRule="auto"/>
              <w:jc w:val="both"/>
              <w:rPr>
                <w:rFonts w:ascii="Times New Roman" w:hAnsi="Times New Roman"/>
                <w:sz w:val="28"/>
              </w:rPr>
            </w:pPr>
            <w:r w:rsidRPr="00030313">
              <w:rPr>
                <w:rFonts w:ascii="Times New Roman" w:hAnsi="Times New Roman"/>
                <w:sz w:val="28"/>
              </w:rPr>
              <w:t>Con relación a los avances tecnológicos, el marcador “No Binario” se incorporó en el sistema Archivo Nacional de Identificación (ANI)</w:t>
            </w:r>
            <w:r w:rsidRPr="00030313">
              <w:rPr>
                <w:rFonts w:ascii="Times New Roman" w:hAnsi="Times New Roman"/>
                <w:sz w:val="28"/>
              </w:rPr>
              <w:t>, así como en materia de cédula de ciudadanía</w:t>
            </w:r>
            <w:r w:rsidRPr="00030313">
              <w:rPr>
                <w:rFonts w:ascii="Times New Roman" w:hAnsi="Times New Roman"/>
                <w:sz w:val="28"/>
              </w:rPr>
              <w:t xml:space="preserve"> y expedición documental. </w:t>
            </w:r>
          </w:p>
          <w:p w:rsidR="00BD2DA3" w:rsidRPr="00030313" w:rsidRDefault="00030313" w:rsidP="00030313">
            <w:pPr>
              <w:adjustRightInd w:val="0"/>
              <w:spacing w:after="0" w:line="240" w:lineRule="auto"/>
              <w:jc w:val="both"/>
              <w:rPr>
                <w:rFonts w:ascii="Times New Roman" w:hAnsi="Times New Roman"/>
                <w:sz w:val="28"/>
              </w:rPr>
            </w:pPr>
          </w:p>
          <w:p w:rsidR="00BD2DA3" w:rsidRPr="00030313" w:rsidRDefault="00030313" w:rsidP="00030313">
            <w:pPr>
              <w:adjustRightInd w:val="0"/>
              <w:spacing w:after="0" w:line="240" w:lineRule="auto"/>
              <w:jc w:val="both"/>
              <w:rPr>
                <w:rFonts w:ascii="Times New Roman" w:hAnsi="Times New Roman"/>
                <w:sz w:val="28"/>
              </w:rPr>
            </w:pPr>
            <w:r w:rsidRPr="00030313">
              <w:rPr>
                <w:rFonts w:ascii="Times New Roman" w:hAnsi="Times New Roman"/>
                <w:sz w:val="28"/>
              </w:rPr>
              <w:t>Con relación a la gestión administrativa</w:t>
            </w:r>
            <w:r w:rsidRPr="00030313">
              <w:rPr>
                <w:rFonts w:ascii="Times New Roman" w:hAnsi="Times New Roman"/>
                <w:sz w:val="28"/>
              </w:rPr>
              <w:t xml:space="preserve"> en materia reglamentaria, se incluyó </w:t>
            </w:r>
            <w:r w:rsidRPr="00030313">
              <w:rPr>
                <w:rFonts w:ascii="Times New Roman" w:hAnsi="Times New Roman"/>
                <w:sz w:val="28"/>
              </w:rPr>
              <w:t xml:space="preserve">en la Circular Única de Registro Civil -versión 8- en los numerales 17.4, 15.4 y 15.4.1 las correcciones relacionadas con el componente sexo mediante </w:t>
            </w:r>
            <w:r w:rsidRPr="00030313">
              <w:rPr>
                <w:rFonts w:ascii="Times New Roman" w:hAnsi="Times New Roman"/>
                <w:sz w:val="28"/>
              </w:rPr>
              <w:t xml:space="preserve">escritura pública. </w:t>
            </w:r>
            <w:r w:rsidRPr="00030313">
              <w:rPr>
                <w:rFonts w:ascii="Times New Roman" w:hAnsi="Times New Roman"/>
                <w:sz w:val="28"/>
              </w:rPr>
              <w:t xml:space="preserve">La circular referenciada contiene los procedimientos </w:t>
            </w:r>
            <w:r w:rsidRPr="00030313">
              <w:rPr>
                <w:rFonts w:ascii="Times New Roman" w:hAnsi="Times New Roman"/>
                <w:sz w:val="28"/>
              </w:rPr>
              <w:t xml:space="preserve">relativos a </w:t>
            </w:r>
            <w:r w:rsidRPr="00030313">
              <w:rPr>
                <w:rFonts w:ascii="Times New Roman" w:hAnsi="Times New Roman"/>
                <w:i/>
                <w:iCs/>
                <w:sz w:val="28"/>
              </w:rPr>
              <w:t xml:space="preserve">(i) </w:t>
            </w:r>
            <w:r w:rsidRPr="00030313">
              <w:rPr>
                <w:rFonts w:ascii="Times New Roman" w:hAnsi="Times New Roman"/>
                <w:sz w:val="28"/>
              </w:rPr>
              <w:t xml:space="preserve">corrección del componente sexo </w:t>
            </w:r>
            <w:r w:rsidRPr="00030313">
              <w:rPr>
                <w:rFonts w:ascii="Times New Roman" w:hAnsi="Times New Roman"/>
                <w:sz w:val="28"/>
              </w:rPr>
              <w:t xml:space="preserve">mediante escritura pública; </w:t>
            </w:r>
            <w:r w:rsidRPr="00030313">
              <w:rPr>
                <w:rFonts w:ascii="Times New Roman" w:hAnsi="Times New Roman"/>
                <w:i/>
                <w:iCs/>
                <w:sz w:val="28"/>
              </w:rPr>
              <w:t xml:space="preserve">(ii) </w:t>
            </w:r>
            <w:r w:rsidRPr="00030313">
              <w:rPr>
                <w:rFonts w:ascii="Times New Roman" w:hAnsi="Times New Roman"/>
                <w:sz w:val="28"/>
              </w:rPr>
              <w:t xml:space="preserve">rectificación de los documentos de identificación por corrección de componente de sexo; y </w:t>
            </w:r>
            <w:r w:rsidRPr="00030313">
              <w:rPr>
                <w:rFonts w:ascii="Times New Roman" w:hAnsi="Times New Roman"/>
                <w:i/>
                <w:iCs/>
                <w:sz w:val="28"/>
              </w:rPr>
              <w:t xml:space="preserve">(iii) </w:t>
            </w:r>
            <w:r w:rsidRPr="00030313">
              <w:rPr>
                <w:rFonts w:ascii="Times New Roman" w:hAnsi="Times New Roman"/>
                <w:sz w:val="28"/>
              </w:rPr>
              <w:t>rectific</w:t>
            </w:r>
            <w:r w:rsidRPr="00030313">
              <w:rPr>
                <w:rFonts w:ascii="Times New Roman" w:hAnsi="Times New Roman"/>
                <w:sz w:val="28"/>
              </w:rPr>
              <w:t xml:space="preserve">ación de la cédula de ciudadanía y tarjeta de identidad por corrección de componente </w:t>
            </w:r>
            <w:r w:rsidRPr="00030313">
              <w:rPr>
                <w:rFonts w:ascii="Times New Roman" w:hAnsi="Times New Roman"/>
                <w:sz w:val="28"/>
              </w:rPr>
              <w:t xml:space="preserve">de sexo No Binario (NB). </w:t>
            </w:r>
          </w:p>
          <w:p w:rsidR="00FA5BBF" w:rsidRPr="00030313" w:rsidRDefault="00030313" w:rsidP="00030313">
            <w:pPr>
              <w:adjustRightInd w:val="0"/>
              <w:spacing w:after="0" w:line="240" w:lineRule="auto"/>
              <w:jc w:val="both"/>
              <w:rPr>
                <w:rFonts w:ascii="Times New Roman" w:hAnsi="Times New Roman"/>
                <w:sz w:val="28"/>
              </w:rPr>
            </w:pPr>
          </w:p>
          <w:p w:rsidR="00FA5BBF" w:rsidRPr="00030313" w:rsidRDefault="00030313" w:rsidP="00030313">
            <w:pPr>
              <w:adjustRightInd w:val="0"/>
              <w:spacing w:after="0" w:line="240" w:lineRule="auto"/>
              <w:jc w:val="both"/>
              <w:rPr>
                <w:rFonts w:ascii="Times New Roman" w:hAnsi="Times New Roman"/>
                <w:sz w:val="28"/>
              </w:rPr>
            </w:pPr>
            <w:r w:rsidRPr="00030313">
              <w:rPr>
                <w:rFonts w:ascii="Times New Roman" w:hAnsi="Times New Roman"/>
                <w:sz w:val="28"/>
              </w:rPr>
              <w:t xml:space="preserve">Por otro lado, el estado de avance para lograr la marcación de No Binario entre las categorías de sexo de la cédula digital </w:t>
            </w:r>
            <w:r w:rsidRPr="00030313">
              <w:rPr>
                <w:rFonts w:ascii="Times New Roman" w:hAnsi="Times New Roman"/>
                <w:sz w:val="28"/>
              </w:rPr>
              <w:t>está sujeto a recurs</w:t>
            </w:r>
            <w:r w:rsidRPr="00030313">
              <w:rPr>
                <w:rFonts w:ascii="Times New Roman" w:hAnsi="Times New Roman"/>
                <w:sz w:val="28"/>
              </w:rPr>
              <w:t xml:space="preserve">os presupuestales que se asignen para tal fin. La entidad presentó ante el Departamento Nacional de Planeación un proyecto de inversión </w:t>
            </w:r>
            <w:r w:rsidRPr="00030313">
              <w:rPr>
                <w:rFonts w:ascii="Times New Roman" w:hAnsi="Times New Roman"/>
                <w:sz w:val="28"/>
              </w:rPr>
              <w:t>con el fin de que esto ayude a incluir los datos adicionales en el campo “sexo” y nuevos campos en la cédula de ciudadan</w:t>
            </w:r>
            <w:r w:rsidRPr="00030313">
              <w:rPr>
                <w:rFonts w:ascii="Times New Roman" w:hAnsi="Times New Roman"/>
                <w:sz w:val="28"/>
              </w:rPr>
              <w:t xml:space="preserve">ía digital. </w:t>
            </w:r>
            <w:r w:rsidRPr="00030313">
              <w:rPr>
                <w:rFonts w:ascii="Times New Roman" w:hAnsi="Times New Roman"/>
                <w:sz w:val="28"/>
              </w:rPr>
              <w:t xml:space="preserve">Así, el presupuesto requerido por parte de la Registraduría Nacional del Estado Civil estaría, por una parte, encaminado a </w:t>
            </w:r>
            <w:r w:rsidRPr="00030313">
              <w:rPr>
                <w:rFonts w:ascii="Times New Roman" w:hAnsi="Times New Roman"/>
                <w:sz w:val="28"/>
              </w:rPr>
              <w:t xml:space="preserve">robustecer la plataforma tecnológica. </w:t>
            </w:r>
          </w:p>
          <w:p w:rsidR="00DA5EDA" w:rsidRPr="00030313" w:rsidRDefault="00030313" w:rsidP="00030313">
            <w:pPr>
              <w:adjustRightInd w:val="0"/>
              <w:spacing w:after="0" w:line="240" w:lineRule="auto"/>
              <w:jc w:val="both"/>
              <w:rPr>
                <w:rFonts w:ascii="Times New Roman" w:hAnsi="Times New Roman"/>
                <w:sz w:val="28"/>
              </w:rPr>
            </w:pPr>
          </w:p>
          <w:p w:rsidR="00DA5EDA" w:rsidRPr="00030313" w:rsidRDefault="00030313" w:rsidP="00030313">
            <w:pPr>
              <w:adjustRightInd w:val="0"/>
              <w:spacing w:after="0" w:line="240" w:lineRule="auto"/>
              <w:jc w:val="both"/>
              <w:rPr>
                <w:rFonts w:ascii="Times New Roman" w:hAnsi="Times New Roman"/>
                <w:sz w:val="28"/>
              </w:rPr>
            </w:pPr>
            <w:r w:rsidRPr="00030313">
              <w:rPr>
                <w:rFonts w:ascii="Times New Roman" w:hAnsi="Times New Roman"/>
                <w:sz w:val="28"/>
              </w:rPr>
              <w:t xml:space="preserve">Agregó que, desde que la Corte profirió las providencias judiciales que ordenan la inclusión de nuevos marcadores en el campo sexo No Binario y Trans en los documentos de identificación que produce la Registraduría Nacional </w:t>
            </w:r>
            <w:r w:rsidRPr="00030313">
              <w:rPr>
                <w:rFonts w:ascii="Times New Roman" w:hAnsi="Times New Roman"/>
                <w:sz w:val="28"/>
              </w:rPr>
              <w:t>del Estado Civil</w:t>
            </w:r>
            <w:r w:rsidRPr="00030313">
              <w:rPr>
                <w:rFonts w:ascii="Times New Roman" w:hAnsi="Times New Roman"/>
                <w:sz w:val="28"/>
              </w:rPr>
              <w:t>, la entidad ini</w:t>
            </w:r>
            <w:r w:rsidRPr="00030313">
              <w:rPr>
                <w:rFonts w:ascii="Times New Roman" w:hAnsi="Times New Roman"/>
                <w:sz w:val="28"/>
              </w:rPr>
              <w:t xml:space="preserve">ció la modernización de las bases de datos que crea y administra como fuente de información de la identificación de los colombianos. </w:t>
            </w:r>
          </w:p>
        </w:tc>
      </w:tr>
      <w:tr w:rsidR="00207E58" w:rsidRPr="00030313" w:rsidTr="00030313">
        <w:tc>
          <w:tcPr>
            <w:tcW w:w="3519" w:type="dxa"/>
            <w:shd w:val="clear" w:color="auto" w:fill="auto"/>
            <w:vAlign w:val="center"/>
          </w:tcPr>
          <w:p w:rsidR="00207E58" w:rsidRPr="00030313" w:rsidRDefault="00030313" w:rsidP="00030313">
            <w:pPr>
              <w:spacing w:after="0" w:line="240" w:lineRule="auto"/>
              <w:jc w:val="both"/>
              <w:rPr>
                <w:rFonts w:ascii="Times New Roman" w:hAnsi="Times New Roman"/>
                <w:sz w:val="28"/>
              </w:rPr>
            </w:pPr>
            <w:r w:rsidRPr="00030313">
              <w:rPr>
                <w:rFonts w:ascii="Times New Roman" w:hAnsi="Times New Roman"/>
                <w:sz w:val="28"/>
              </w:rPr>
              <w:t xml:space="preserve">¿Para adelantar el cumplimiento de la Sentencia T-033 de 2022 se ha trabajado de manera conjunta con alguna autoridad del Gobierno Nacional?  </w:t>
            </w:r>
          </w:p>
        </w:tc>
        <w:tc>
          <w:tcPr>
            <w:tcW w:w="5311" w:type="dxa"/>
            <w:shd w:val="clear" w:color="auto" w:fill="auto"/>
            <w:vAlign w:val="center"/>
          </w:tcPr>
          <w:p w:rsidR="00207E58" w:rsidRPr="00030313" w:rsidRDefault="00030313" w:rsidP="00030313">
            <w:pPr>
              <w:adjustRightInd w:val="0"/>
              <w:spacing w:after="0" w:line="240" w:lineRule="auto"/>
              <w:jc w:val="both"/>
              <w:rPr>
                <w:rFonts w:ascii="Times New Roman" w:hAnsi="Times New Roman"/>
                <w:sz w:val="28"/>
              </w:rPr>
            </w:pPr>
            <w:r w:rsidRPr="00030313">
              <w:rPr>
                <w:rFonts w:ascii="Times New Roman" w:hAnsi="Times New Roman"/>
                <w:sz w:val="28"/>
              </w:rPr>
              <w:t>Mediante oficio del 15 de diciembre de 2022, la Registraduría Na</w:t>
            </w:r>
            <w:r w:rsidRPr="00030313">
              <w:rPr>
                <w:rFonts w:ascii="Times New Roman" w:hAnsi="Times New Roman"/>
                <w:sz w:val="28"/>
              </w:rPr>
              <w:t>cional del Estado Civil radicó ante el Ministerio</w:t>
            </w:r>
            <w:r w:rsidRPr="00030313">
              <w:rPr>
                <w:rFonts w:ascii="Times New Roman" w:hAnsi="Times New Roman"/>
                <w:sz w:val="28"/>
              </w:rPr>
              <w:t xml:space="preserve"> de Justicia y el Derecho mediante el cual solicitó información </w:t>
            </w:r>
            <w:r w:rsidRPr="00030313">
              <w:rPr>
                <w:rFonts w:ascii="Times New Roman" w:hAnsi="Times New Roman"/>
                <w:sz w:val="28"/>
              </w:rPr>
              <w:t xml:space="preserve">frente al cambio del Decreto 1227 de 2015 en lo referente a la categoría “NB” entre los marcadores de sexo del esquema de identificación ciudadana. </w:t>
            </w:r>
            <w:r w:rsidRPr="00030313">
              <w:rPr>
                <w:rFonts w:ascii="Times New Roman" w:hAnsi="Times New Roman"/>
                <w:sz w:val="28"/>
              </w:rPr>
              <w:t>Lo expuesto, en el entendido de que es el Go</w:t>
            </w:r>
            <w:r w:rsidRPr="00030313">
              <w:rPr>
                <w:rFonts w:ascii="Times New Roman" w:hAnsi="Times New Roman"/>
                <w:sz w:val="28"/>
              </w:rPr>
              <w:t xml:space="preserve">bierno Nacional el competente para modificar las normas que reglamentan la inclusión de la categoría “NB” </w:t>
            </w:r>
            <w:r w:rsidRPr="00030313">
              <w:rPr>
                <w:rFonts w:ascii="Times New Roman" w:hAnsi="Times New Roman"/>
                <w:sz w:val="28"/>
              </w:rPr>
              <w:t xml:space="preserve">entre los marcadores de sexo en el esquema de identificación en documentos de identidad. </w:t>
            </w:r>
            <w:r w:rsidRPr="00030313">
              <w:rPr>
                <w:rFonts w:ascii="Times New Roman" w:hAnsi="Times New Roman"/>
                <w:sz w:val="28"/>
              </w:rPr>
              <w:t>Igualmente, se ha solicitado ante el Departamento Nacional de</w:t>
            </w:r>
            <w:r w:rsidRPr="00030313">
              <w:rPr>
                <w:rFonts w:ascii="Times New Roman" w:hAnsi="Times New Roman"/>
                <w:sz w:val="28"/>
              </w:rPr>
              <w:t xml:space="preserve"> Planeación </w:t>
            </w:r>
            <w:r w:rsidRPr="00030313">
              <w:rPr>
                <w:rFonts w:ascii="Times New Roman" w:hAnsi="Times New Roman"/>
                <w:sz w:val="28"/>
              </w:rPr>
              <w:t>una adición de recursos.</w:t>
            </w:r>
            <w:r w:rsidRPr="00030313">
              <w:rPr>
                <w:rFonts w:ascii="Times New Roman" w:hAnsi="Times New Roman"/>
                <w:sz w:val="28"/>
              </w:rPr>
              <w:t xml:space="preserve"> </w:t>
            </w:r>
            <w:r w:rsidRPr="00030313">
              <w:rPr>
                <w:rFonts w:ascii="Times New Roman" w:hAnsi="Times New Roman"/>
                <w:sz w:val="28"/>
              </w:rPr>
              <w:t xml:space="preserve">Con relación a lo anterior, mediante Decreto 2295 del 29 de diciembre de 2023, </w:t>
            </w:r>
            <w:r w:rsidRPr="00030313">
              <w:rPr>
                <w:rFonts w:ascii="Times New Roman" w:hAnsi="Times New Roman"/>
                <w:sz w:val="28"/>
              </w:rPr>
              <w:t xml:space="preserve">al proyecto le fueron aprobados recursos por menor valor al requerido. </w:t>
            </w:r>
            <w:r w:rsidRPr="00030313">
              <w:rPr>
                <w:rFonts w:ascii="Times New Roman" w:hAnsi="Times New Roman"/>
                <w:sz w:val="28"/>
              </w:rPr>
              <w:t>El 27 de febrero de 2023, la Registraduría remitió al Ministerio de J</w:t>
            </w:r>
            <w:r w:rsidRPr="00030313">
              <w:rPr>
                <w:rFonts w:ascii="Times New Roman" w:hAnsi="Times New Roman"/>
                <w:sz w:val="28"/>
              </w:rPr>
              <w:t xml:space="preserve">usticia y el Derecho </w:t>
            </w:r>
            <w:r w:rsidRPr="00030313">
              <w:rPr>
                <w:rFonts w:ascii="Times New Roman" w:hAnsi="Times New Roman"/>
                <w:sz w:val="28"/>
              </w:rPr>
              <w:t>un oficio mediante el cual desarrolló los elementos que componen el esquema de identificación en Colombia.</w:t>
            </w:r>
          </w:p>
        </w:tc>
      </w:tr>
      <w:tr w:rsidR="00207E58" w:rsidRPr="00030313" w:rsidTr="00030313">
        <w:tc>
          <w:tcPr>
            <w:tcW w:w="3519" w:type="dxa"/>
            <w:shd w:val="clear" w:color="auto" w:fill="auto"/>
            <w:vAlign w:val="center"/>
          </w:tcPr>
          <w:p w:rsidR="00207E58" w:rsidRPr="00030313" w:rsidRDefault="00030313" w:rsidP="00030313">
            <w:pPr>
              <w:spacing w:after="0" w:line="240" w:lineRule="auto"/>
              <w:jc w:val="both"/>
              <w:rPr>
                <w:rFonts w:ascii="Times New Roman" w:hAnsi="Times New Roman"/>
                <w:sz w:val="28"/>
              </w:rPr>
            </w:pPr>
            <w:r w:rsidRPr="00030313">
              <w:rPr>
                <w:rFonts w:ascii="Times New Roman" w:hAnsi="Times New Roman"/>
                <w:sz w:val="28"/>
              </w:rPr>
              <w:t xml:space="preserve">¿Cuál es el estado actual del trámite de cambio de marcación de sexo a “No Binario” para el caso de </w:t>
            </w:r>
            <w:r w:rsidRPr="00030313">
              <w:rPr>
                <w:rFonts w:ascii="Times New Roman" w:hAnsi="Times New Roman"/>
                <w:i/>
                <w:iCs/>
                <w:sz w:val="28"/>
              </w:rPr>
              <w:t>Sergio</w:t>
            </w:r>
            <w:r w:rsidRPr="00030313">
              <w:rPr>
                <w:rFonts w:ascii="Times New Roman" w:hAnsi="Times New Roman"/>
                <w:sz w:val="28"/>
              </w:rPr>
              <w:t>?</w:t>
            </w:r>
          </w:p>
        </w:tc>
        <w:tc>
          <w:tcPr>
            <w:tcW w:w="5311" w:type="dxa"/>
            <w:shd w:val="clear" w:color="auto" w:fill="auto"/>
            <w:vAlign w:val="center"/>
          </w:tcPr>
          <w:p w:rsidR="00207E58" w:rsidRPr="00030313" w:rsidRDefault="00030313" w:rsidP="00030313">
            <w:pPr>
              <w:adjustRightInd w:val="0"/>
              <w:spacing w:after="0" w:line="240" w:lineRule="auto"/>
              <w:jc w:val="both"/>
              <w:rPr>
                <w:rFonts w:ascii="Times New Roman" w:hAnsi="Times New Roman"/>
                <w:sz w:val="28"/>
              </w:rPr>
            </w:pPr>
            <w:r w:rsidRPr="00030313">
              <w:rPr>
                <w:rFonts w:ascii="Times New Roman" w:hAnsi="Times New Roman"/>
                <w:sz w:val="28"/>
              </w:rPr>
              <w:t xml:space="preserve">La entidad señaló que, actualmente, </w:t>
            </w:r>
            <w:r w:rsidRPr="00030313">
              <w:rPr>
                <w:rFonts w:ascii="Times New Roman" w:hAnsi="Times New Roman"/>
                <w:sz w:val="28"/>
              </w:rPr>
              <w:t>la persona accionante</w:t>
            </w:r>
            <w:r w:rsidRPr="00030313">
              <w:rPr>
                <w:rFonts w:ascii="Times New Roman" w:hAnsi="Times New Roman"/>
                <w:sz w:val="28"/>
              </w:rPr>
              <w:t xml:space="preserve"> cuenta con </w:t>
            </w:r>
            <w:r w:rsidRPr="00030313">
              <w:rPr>
                <w:rFonts w:ascii="Times New Roman" w:hAnsi="Times New Roman"/>
                <w:sz w:val="28"/>
              </w:rPr>
              <w:t xml:space="preserve">cédula de ciudadanía amarilla en hologramas con el marcador sexo “NB”, al igual que en su registro civil de nacimiento. </w:t>
            </w:r>
            <w:r w:rsidRPr="00030313">
              <w:rPr>
                <w:rFonts w:ascii="Times New Roman" w:hAnsi="Times New Roman"/>
                <w:sz w:val="28"/>
              </w:rPr>
              <w:t xml:space="preserve">Con relación a la cédula de ciudadanía digital, </w:t>
            </w:r>
            <w:r w:rsidRPr="00030313">
              <w:rPr>
                <w:rFonts w:ascii="Times New Roman" w:hAnsi="Times New Roman"/>
                <w:sz w:val="28"/>
              </w:rPr>
              <w:t>la Registraduría Na</w:t>
            </w:r>
            <w:r w:rsidRPr="00030313">
              <w:rPr>
                <w:rFonts w:ascii="Times New Roman" w:hAnsi="Times New Roman"/>
                <w:sz w:val="28"/>
              </w:rPr>
              <w:t xml:space="preserve">cional del Estado Civil aún está a la espera de la aprobación de los recursos solicitados al Departamento Nacional de Planeación, con el fin de gestionar el mecanismo contractual idóneo que permita satisfacer los nuevos requerimientos en los documentos de </w:t>
            </w:r>
            <w:r w:rsidRPr="00030313">
              <w:rPr>
                <w:rFonts w:ascii="Times New Roman" w:hAnsi="Times New Roman"/>
                <w:sz w:val="28"/>
              </w:rPr>
              <w:t xml:space="preserve">identificación, de acuerdo con los recientes fallos judiciales que demandan la inclusión de datos variable en el componente sexo. </w:t>
            </w:r>
          </w:p>
        </w:tc>
      </w:tr>
    </w:tbl>
    <w:p w:rsidR="00C36B4C" w:rsidRPr="00030313" w:rsidRDefault="00030313" w:rsidP="00C61937">
      <w:pPr>
        <w:pStyle w:val="Lista"/>
        <w:tabs>
          <w:tab w:val="left" w:pos="0"/>
        </w:tabs>
        <w:spacing w:after="0" w:line="240" w:lineRule="auto"/>
        <w:ind w:left="0" w:firstLine="0"/>
        <w:jc w:val="both"/>
        <w:rPr>
          <w:rFonts w:ascii="Times New Roman" w:hAnsi="Times New Roman"/>
          <w:b/>
          <w:bCs/>
          <w:i/>
          <w:iCs/>
          <w:sz w:val="28"/>
          <w:szCs w:val="28"/>
          <w:lang w:val="es-ES"/>
        </w:rPr>
      </w:pPr>
    </w:p>
    <w:p w:rsidR="00767A82" w:rsidRPr="00030313" w:rsidRDefault="00030313" w:rsidP="00C61937">
      <w:pPr>
        <w:pStyle w:val="Lista"/>
        <w:numPr>
          <w:ilvl w:val="0"/>
          <w:numId w:val="6"/>
        </w:numPr>
        <w:tabs>
          <w:tab w:val="left" w:pos="0"/>
        </w:tabs>
        <w:spacing w:after="0" w:line="240" w:lineRule="auto"/>
        <w:ind w:left="0" w:firstLine="0"/>
        <w:jc w:val="both"/>
        <w:rPr>
          <w:rFonts w:ascii="Times New Roman" w:hAnsi="Times New Roman"/>
          <w:b/>
          <w:bCs/>
          <w:i/>
          <w:iCs/>
          <w:sz w:val="28"/>
          <w:szCs w:val="28"/>
        </w:rPr>
      </w:pPr>
      <w:r w:rsidRPr="00030313">
        <w:rPr>
          <w:rFonts w:ascii="Times New Roman" w:hAnsi="Times New Roman"/>
          <w:sz w:val="28"/>
          <w:szCs w:val="28"/>
          <w:lang w:val="es-ES"/>
        </w:rPr>
        <w:t xml:space="preserve">Por medio de </w:t>
      </w:r>
      <w:r w:rsidRPr="00030313">
        <w:rPr>
          <w:rFonts w:ascii="Times New Roman" w:hAnsi="Times New Roman"/>
          <w:sz w:val="28"/>
          <w:szCs w:val="28"/>
          <w:lang w:val="es-ES"/>
        </w:rPr>
        <w:t>Auto del</w:t>
      </w:r>
      <w:r w:rsidRPr="00030313">
        <w:rPr>
          <w:rFonts w:ascii="Times New Roman" w:hAnsi="Times New Roman"/>
          <w:sz w:val="28"/>
          <w:szCs w:val="28"/>
          <w:lang w:val="es-ES"/>
        </w:rPr>
        <w:t xml:space="preserve"> 2 de julio de 2024</w:t>
      </w:r>
      <w:r w:rsidRPr="00030313">
        <w:rPr>
          <w:rStyle w:val="Refdenotaalpie"/>
          <w:rFonts w:ascii="Times New Roman" w:hAnsi="Times New Roman"/>
          <w:sz w:val="28"/>
          <w:szCs w:val="28"/>
          <w:lang w:val="es-ES"/>
        </w:rPr>
        <w:footnoteReference w:id="22"/>
      </w:r>
      <w:r w:rsidRPr="00030313">
        <w:rPr>
          <w:rFonts w:ascii="Times New Roman" w:hAnsi="Times New Roman"/>
          <w:sz w:val="28"/>
          <w:szCs w:val="28"/>
          <w:lang w:val="es-ES"/>
        </w:rPr>
        <w:t>,</w:t>
      </w:r>
      <w:r w:rsidRPr="00030313">
        <w:rPr>
          <w:rFonts w:ascii="Times New Roman" w:hAnsi="Times New Roman"/>
          <w:sz w:val="28"/>
          <w:szCs w:val="28"/>
          <w:lang w:val="es-ES"/>
        </w:rPr>
        <w:t xml:space="preserve"> se dio traslado </w:t>
      </w:r>
      <w:r w:rsidRPr="00030313">
        <w:rPr>
          <w:rFonts w:ascii="Times New Roman" w:hAnsi="Times New Roman"/>
          <w:sz w:val="28"/>
          <w:szCs w:val="28"/>
          <w:lang w:val="es-ES"/>
        </w:rPr>
        <w:t>a las pruebas recaudadas en el presente proceso, para conocimien</w:t>
      </w:r>
      <w:r w:rsidRPr="00030313">
        <w:rPr>
          <w:rFonts w:ascii="Times New Roman" w:hAnsi="Times New Roman"/>
          <w:sz w:val="28"/>
          <w:szCs w:val="28"/>
          <w:lang w:val="es-ES"/>
        </w:rPr>
        <w:t>to de todas las partes</w:t>
      </w:r>
      <w:r w:rsidRPr="00030313">
        <w:rPr>
          <w:rFonts w:ascii="Times New Roman" w:hAnsi="Times New Roman"/>
          <w:sz w:val="28"/>
          <w:szCs w:val="28"/>
          <w:lang w:val="es-ES"/>
        </w:rPr>
        <w:t xml:space="preserve"> y su eventual pronunciamiento. </w:t>
      </w:r>
    </w:p>
    <w:p w:rsidR="00C36B4C" w:rsidRPr="00030313" w:rsidRDefault="00030313" w:rsidP="00C61937">
      <w:pPr>
        <w:pStyle w:val="Lista"/>
        <w:tabs>
          <w:tab w:val="left" w:pos="0"/>
        </w:tabs>
        <w:spacing w:after="0" w:line="240" w:lineRule="auto"/>
        <w:ind w:left="0" w:firstLine="0"/>
        <w:jc w:val="both"/>
        <w:rPr>
          <w:rFonts w:ascii="Times New Roman" w:hAnsi="Times New Roman"/>
          <w:b/>
          <w:bCs/>
          <w:i/>
          <w:iCs/>
          <w:sz w:val="28"/>
          <w:szCs w:val="28"/>
          <w:lang w:val="es-ES"/>
        </w:rPr>
      </w:pPr>
    </w:p>
    <w:p w:rsidR="00276801" w:rsidRPr="00030313" w:rsidRDefault="00030313" w:rsidP="00C61937">
      <w:pPr>
        <w:pStyle w:val="Lista"/>
        <w:tabs>
          <w:tab w:val="left" w:pos="0"/>
        </w:tabs>
        <w:spacing w:after="0" w:line="240" w:lineRule="auto"/>
        <w:ind w:left="0" w:firstLine="0"/>
        <w:jc w:val="both"/>
        <w:rPr>
          <w:rFonts w:ascii="Times New Roman" w:hAnsi="Times New Roman"/>
          <w:b/>
          <w:bCs/>
          <w:i/>
          <w:iCs/>
          <w:sz w:val="28"/>
          <w:szCs w:val="28"/>
          <w:lang w:val="es-ES"/>
        </w:rPr>
      </w:pPr>
    </w:p>
    <w:p w:rsidR="00C36B4C" w:rsidRPr="00030313" w:rsidRDefault="00030313" w:rsidP="00C61937">
      <w:pPr>
        <w:pStyle w:val="Ttulo1"/>
        <w:numPr>
          <w:ilvl w:val="0"/>
          <w:numId w:val="5"/>
        </w:numPr>
        <w:rPr>
          <w:rFonts w:ascii="Times New Roman" w:hAnsi="Times New Roman"/>
          <w:sz w:val="28"/>
        </w:rPr>
      </w:pPr>
      <w:bookmarkStart w:id="9" w:name="_Toc183628559"/>
      <w:r w:rsidRPr="00030313">
        <w:rPr>
          <w:rFonts w:ascii="Times New Roman" w:hAnsi="Times New Roman"/>
          <w:sz w:val="28"/>
        </w:rPr>
        <w:t>CONSIDERACIONES</w:t>
      </w:r>
      <w:bookmarkEnd w:id="9"/>
    </w:p>
    <w:p w:rsidR="00C36B4C" w:rsidRPr="00030313" w:rsidRDefault="00030313" w:rsidP="00C61937">
      <w:pPr>
        <w:rPr>
          <w:rFonts w:ascii="Times New Roman" w:hAnsi="Times New Roman"/>
          <w:b/>
          <w:bCs/>
          <w:sz w:val="28"/>
        </w:rPr>
      </w:pPr>
    </w:p>
    <w:p w:rsidR="00C36B4C" w:rsidRPr="00030313" w:rsidRDefault="00030313" w:rsidP="00C61937">
      <w:pPr>
        <w:pStyle w:val="Ttulo2"/>
        <w:numPr>
          <w:ilvl w:val="1"/>
          <w:numId w:val="5"/>
        </w:numPr>
        <w:rPr>
          <w:rFonts w:ascii="Times New Roman" w:hAnsi="Times New Roman"/>
          <w:sz w:val="28"/>
        </w:rPr>
      </w:pPr>
      <w:bookmarkStart w:id="10" w:name="_Toc183628560"/>
      <w:r w:rsidRPr="00030313">
        <w:rPr>
          <w:rFonts w:ascii="Times New Roman" w:hAnsi="Times New Roman"/>
          <w:sz w:val="28"/>
        </w:rPr>
        <w:t>Competencia</w:t>
      </w:r>
      <w:bookmarkEnd w:id="10"/>
    </w:p>
    <w:p w:rsidR="00C36B4C" w:rsidRPr="00030313" w:rsidRDefault="00030313" w:rsidP="00C61937">
      <w:pPr>
        <w:tabs>
          <w:tab w:val="left" w:pos="426"/>
        </w:tabs>
        <w:jc w:val="both"/>
        <w:rPr>
          <w:rFonts w:ascii="Times New Roman" w:hAnsi="Times New Roman"/>
          <w:i/>
          <w:iCs/>
          <w:sz w:val="28"/>
          <w:lang w:eastAsia="es-ES"/>
        </w:rPr>
      </w:pPr>
    </w:p>
    <w:p w:rsidR="00C36B4C" w:rsidRPr="00030313" w:rsidRDefault="00030313" w:rsidP="00C61937">
      <w:pPr>
        <w:numPr>
          <w:ilvl w:val="0"/>
          <w:numId w:val="6"/>
        </w:numPr>
        <w:tabs>
          <w:tab w:val="left" w:pos="426"/>
        </w:tabs>
        <w:ind w:left="0" w:firstLine="0"/>
        <w:jc w:val="both"/>
        <w:rPr>
          <w:rFonts w:ascii="Times New Roman" w:hAnsi="Times New Roman"/>
          <w:sz w:val="28"/>
        </w:rPr>
      </w:pPr>
      <w:r w:rsidRPr="00030313">
        <w:rPr>
          <w:rFonts w:ascii="Times New Roman" w:hAnsi="Times New Roman"/>
          <w:sz w:val="28"/>
        </w:rPr>
        <w:t xml:space="preserve"> La Sala Quinta de Revisión de Tutelas de la Corte Constitucional es competente para revisar y decidir sobre </w:t>
      </w:r>
      <w:r w:rsidRPr="00030313">
        <w:rPr>
          <w:rFonts w:ascii="Times New Roman" w:hAnsi="Times New Roman"/>
          <w:sz w:val="28"/>
        </w:rPr>
        <w:t>el fallo que resolvió la</w:t>
      </w:r>
      <w:r w:rsidRPr="00030313">
        <w:rPr>
          <w:rFonts w:ascii="Times New Roman" w:hAnsi="Times New Roman"/>
          <w:sz w:val="28"/>
        </w:rPr>
        <w:t xml:space="preserve"> </w:t>
      </w:r>
      <w:r w:rsidRPr="00030313">
        <w:rPr>
          <w:rFonts w:ascii="Times New Roman" w:hAnsi="Times New Roman"/>
          <w:bCs/>
          <w:sz w:val="28"/>
        </w:rPr>
        <w:t>acción</w:t>
      </w:r>
      <w:r w:rsidRPr="00030313">
        <w:rPr>
          <w:rFonts w:ascii="Times New Roman" w:hAnsi="Times New Roman"/>
          <w:sz w:val="28"/>
        </w:rPr>
        <w:t xml:space="preserve"> de tutela de la referencia con arreglo a lo establecido en los artículos 86 y 241.9 de la Constitución Política, en concordancia con los artículos 33, 34 y 35 del Decreto 2591 de 1991, y en cumplimiento de lo resuelto por la Sala de Selección de Tutelas N</w:t>
      </w:r>
      <w:r w:rsidRPr="00030313">
        <w:rPr>
          <w:rFonts w:ascii="Times New Roman" w:hAnsi="Times New Roman"/>
          <w:sz w:val="28"/>
        </w:rPr>
        <w:t xml:space="preserve">úmero </w:t>
      </w:r>
      <w:r w:rsidRPr="00030313">
        <w:rPr>
          <w:rFonts w:ascii="Times New Roman" w:hAnsi="Times New Roman"/>
          <w:sz w:val="28"/>
        </w:rPr>
        <w:t>Cinco</w:t>
      </w:r>
      <w:r w:rsidRPr="00030313">
        <w:rPr>
          <w:rFonts w:ascii="Times New Roman" w:hAnsi="Times New Roman"/>
          <w:sz w:val="28"/>
        </w:rPr>
        <w:t>, según consta en Auto del 2</w:t>
      </w:r>
      <w:r w:rsidRPr="00030313">
        <w:rPr>
          <w:rFonts w:ascii="Times New Roman" w:hAnsi="Times New Roman"/>
          <w:sz w:val="28"/>
        </w:rPr>
        <w:t>4 de mayo</w:t>
      </w:r>
      <w:r w:rsidRPr="00030313">
        <w:rPr>
          <w:rFonts w:ascii="Times New Roman" w:hAnsi="Times New Roman"/>
          <w:sz w:val="28"/>
        </w:rPr>
        <w:t xml:space="preserve"> de 2024, notificado el día </w:t>
      </w:r>
      <w:r w:rsidRPr="00030313">
        <w:rPr>
          <w:rFonts w:ascii="Times New Roman" w:hAnsi="Times New Roman"/>
          <w:sz w:val="28"/>
        </w:rPr>
        <w:t xml:space="preserve">11 de junio </w:t>
      </w:r>
      <w:r w:rsidRPr="00030313">
        <w:rPr>
          <w:rFonts w:ascii="Times New Roman" w:hAnsi="Times New Roman"/>
          <w:sz w:val="28"/>
        </w:rPr>
        <w:t>de 2024, mediante el cual se seleccionó el expediente de la referencia que ingresó por medio de</w:t>
      </w:r>
      <w:r w:rsidRPr="00030313">
        <w:rPr>
          <w:rFonts w:ascii="Times New Roman" w:hAnsi="Times New Roman"/>
          <w:sz w:val="28"/>
        </w:rPr>
        <w:t>l proceso de preselección</w:t>
      </w:r>
      <w:r w:rsidRPr="00030313">
        <w:rPr>
          <w:rFonts w:ascii="Times New Roman" w:hAnsi="Times New Roman"/>
          <w:sz w:val="28"/>
        </w:rPr>
        <w:t xml:space="preserve"> y fue escogido por el criterio </w:t>
      </w:r>
      <w:r w:rsidRPr="00030313">
        <w:rPr>
          <w:rFonts w:ascii="Times New Roman" w:hAnsi="Times New Roman"/>
          <w:sz w:val="28"/>
        </w:rPr>
        <w:t>objetivo</w:t>
      </w:r>
      <w:r w:rsidRPr="00030313">
        <w:rPr>
          <w:rFonts w:ascii="Times New Roman" w:hAnsi="Times New Roman"/>
          <w:sz w:val="28"/>
        </w:rPr>
        <w:t xml:space="preserve"> de</w:t>
      </w:r>
      <w:r w:rsidRPr="00030313">
        <w:rPr>
          <w:rFonts w:ascii="Times New Roman" w:hAnsi="Times New Roman"/>
          <w:sz w:val="28"/>
        </w:rPr>
        <w:t xml:space="preserve"> asun</w:t>
      </w:r>
      <w:r w:rsidRPr="00030313">
        <w:rPr>
          <w:rFonts w:ascii="Times New Roman" w:hAnsi="Times New Roman"/>
          <w:sz w:val="28"/>
        </w:rPr>
        <w:t xml:space="preserve">to novedoso. </w:t>
      </w:r>
    </w:p>
    <w:p w:rsidR="00C36B4C" w:rsidRPr="00030313" w:rsidRDefault="00030313" w:rsidP="00C61937">
      <w:pPr>
        <w:tabs>
          <w:tab w:val="left" w:pos="426"/>
        </w:tabs>
        <w:jc w:val="both"/>
        <w:rPr>
          <w:rFonts w:ascii="Times New Roman" w:hAnsi="Times New Roman"/>
          <w:sz w:val="28"/>
        </w:rPr>
      </w:pPr>
    </w:p>
    <w:p w:rsidR="00C36B4C" w:rsidRPr="00030313" w:rsidRDefault="00030313" w:rsidP="00C61937">
      <w:pPr>
        <w:pStyle w:val="Prrafodelista"/>
        <w:rPr>
          <w:rFonts w:ascii="Times New Roman" w:hAnsi="Times New Roman"/>
          <w:sz w:val="28"/>
        </w:rPr>
      </w:pPr>
    </w:p>
    <w:p w:rsidR="00C36B4C" w:rsidRPr="00030313" w:rsidRDefault="00030313" w:rsidP="00C61937">
      <w:pPr>
        <w:pStyle w:val="Ttulo2"/>
        <w:numPr>
          <w:ilvl w:val="1"/>
          <w:numId w:val="5"/>
        </w:numPr>
        <w:rPr>
          <w:rFonts w:ascii="Times New Roman" w:hAnsi="Times New Roman"/>
          <w:sz w:val="28"/>
        </w:rPr>
      </w:pPr>
      <w:bookmarkStart w:id="11" w:name="_Toc183628561"/>
      <w:r w:rsidRPr="00030313">
        <w:rPr>
          <w:rFonts w:ascii="Times New Roman" w:hAnsi="Times New Roman"/>
          <w:sz w:val="28"/>
        </w:rPr>
        <w:t>Análisis de procedencia de la acción de tutela</w:t>
      </w:r>
      <w:bookmarkEnd w:id="11"/>
      <w:r w:rsidRPr="00030313">
        <w:rPr>
          <w:rFonts w:ascii="Times New Roman" w:hAnsi="Times New Roman"/>
          <w:sz w:val="28"/>
        </w:rPr>
        <w:t xml:space="preserve"> </w:t>
      </w:r>
    </w:p>
    <w:p w:rsidR="00C36B4C" w:rsidRPr="00030313" w:rsidRDefault="00030313" w:rsidP="00C61937">
      <w:pPr>
        <w:pStyle w:val="Prrafodelista"/>
        <w:rPr>
          <w:rFonts w:ascii="Times New Roman" w:hAnsi="Times New Roman"/>
          <w:sz w:val="28"/>
        </w:rPr>
      </w:pPr>
    </w:p>
    <w:p w:rsidR="00C36B4C" w:rsidRPr="00030313" w:rsidRDefault="00030313" w:rsidP="00C61937">
      <w:pPr>
        <w:numPr>
          <w:ilvl w:val="0"/>
          <w:numId w:val="6"/>
        </w:numPr>
        <w:tabs>
          <w:tab w:val="left" w:pos="426"/>
        </w:tabs>
        <w:ind w:left="0" w:firstLine="0"/>
        <w:jc w:val="both"/>
        <w:rPr>
          <w:rFonts w:ascii="Times New Roman" w:hAnsi="Times New Roman"/>
          <w:i/>
          <w:iCs/>
          <w:sz w:val="28"/>
          <w:lang w:eastAsia="es-ES"/>
        </w:rPr>
      </w:pPr>
      <w:r w:rsidRPr="00030313">
        <w:rPr>
          <w:rFonts w:ascii="Times New Roman" w:hAnsi="Times New Roman"/>
          <w:sz w:val="28"/>
        </w:rPr>
        <w:t xml:space="preserve">De manera previa, se examinará si el caso </w:t>
      </w:r>
      <w:r w:rsidRPr="00030313">
        <w:rPr>
          <w:rFonts w:ascii="Times New Roman" w:hAnsi="Times New Roman"/>
          <w:i/>
          <w:iCs/>
          <w:sz w:val="28"/>
        </w:rPr>
        <w:t>sub examine</w:t>
      </w:r>
      <w:r w:rsidRPr="00030313">
        <w:rPr>
          <w:rFonts w:ascii="Times New Roman" w:hAnsi="Times New Roman"/>
          <w:sz w:val="28"/>
        </w:rPr>
        <w:t xml:space="preserve"> cumple con los requisitos generales de procedencia de la acción de tutela. E</w:t>
      </w:r>
      <w:r w:rsidRPr="00030313">
        <w:rPr>
          <w:rFonts w:ascii="Times New Roman" w:hAnsi="Times New Roman"/>
          <w:sz w:val="28"/>
          <w:shd w:val="clear" w:color="auto" w:fill="FFFFFF"/>
        </w:rPr>
        <w:t>n el evento de que todas ellas se superen, corresponderá plan</w:t>
      </w:r>
      <w:r w:rsidRPr="00030313">
        <w:rPr>
          <w:rFonts w:ascii="Times New Roman" w:hAnsi="Times New Roman"/>
          <w:sz w:val="28"/>
          <w:shd w:val="clear" w:color="auto" w:fill="FFFFFF"/>
        </w:rPr>
        <w:t xml:space="preserve">tear el caso, </w:t>
      </w:r>
      <w:r w:rsidRPr="00030313">
        <w:rPr>
          <w:rFonts w:ascii="Times New Roman" w:hAnsi="Times New Roman"/>
          <w:sz w:val="28"/>
          <w:shd w:val="clear" w:color="auto" w:fill="FFFFFF"/>
        </w:rPr>
        <w:t>formular</w:t>
      </w:r>
      <w:r w:rsidRPr="00030313">
        <w:rPr>
          <w:rFonts w:ascii="Times New Roman" w:hAnsi="Times New Roman"/>
          <w:sz w:val="28"/>
          <w:shd w:val="clear" w:color="auto" w:fill="FFFFFF"/>
        </w:rPr>
        <w:t xml:space="preserve"> el problema jurídico y exponer el esquema </w:t>
      </w:r>
      <w:r w:rsidRPr="00030313">
        <w:rPr>
          <w:rFonts w:ascii="Times New Roman" w:hAnsi="Times New Roman"/>
          <w:sz w:val="28"/>
          <w:shd w:val="clear" w:color="auto" w:fill="FFFFFF"/>
        </w:rPr>
        <w:t>para adoptar la</w:t>
      </w:r>
      <w:r w:rsidRPr="00030313">
        <w:rPr>
          <w:rFonts w:ascii="Times New Roman" w:hAnsi="Times New Roman"/>
          <w:sz w:val="28"/>
          <w:shd w:val="clear" w:color="auto" w:fill="FFFFFF"/>
        </w:rPr>
        <w:t xml:space="preserve"> decisión.</w:t>
      </w:r>
      <w:r w:rsidRPr="00030313">
        <w:rPr>
          <w:rFonts w:ascii="Times New Roman" w:hAnsi="Times New Roman"/>
          <w:i/>
          <w:iCs/>
          <w:sz w:val="28"/>
          <w:lang w:eastAsia="es-ES"/>
        </w:rPr>
        <w:t xml:space="preserve"> </w:t>
      </w:r>
      <w:r w:rsidRPr="00030313">
        <w:rPr>
          <w:rFonts w:ascii="Times New Roman" w:hAnsi="Times New Roman"/>
          <w:sz w:val="28"/>
          <w:lang w:val="es-ES_tradnl"/>
        </w:rPr>
        <w:t>De conformidad con el artículo 86 de la Constitución y la jurisprudencia constitucional son requisitos de procedencia de la acción de tutela: la legitimación en la c</w:t>
      </w:r>
      <w:r w:rsidRPr="00030313">
        <w:rPr>
          <w:rFonts w:ascii="Times New Roman" w:hAnsi="Times New Roman"/>
          <w:sz w:val="28"/>
          <w:lang w:val="es-ES_tradnl"/>
        </w:rPr>
        <w:t xml:space="preserve">ausa por activa y por pasiva, la inmediatez y la subsidiariedad. </w:t>
      </w:r>
    </w:p>
    <w:p w:rsidR="00C36B4C" w:rsidRPr="00030313" w:rsidRDefault="00030313" w:rsidP="00C61937">
      <w:pPr>
        <w:tabs>
          <w:tab w:val="left" w:pos="426"/>
        </w:tabs>
        <w:jc w:val="both"/>
        <w:rPr>
          <w:rFonts w:ascii="Times New Roman" w:hAnsi="Times New Roman"/>
          <w:i/>
          <w:iCs/>
          <w:sz w:val="28"/>
          <w:lang w:eastAsia="es-ES"/>
        </w:rPr>
      </w:pPr>
    </w:p>
    <w:p w:rsidR="00C36B4C" w:rsidRPr="00030313" w:rsidRDefault="00030313" w:rsidP="00C61937">
      <w:pPr>
        <w:numPr>
          <w:ilvl w:val="0"/>
          <w:numId w:val="6"/>
        </w:numPr>
        <w:pBdr>
          <w:top w:val="nil"/>
          <w:left w:val="nil"/>
          <w:bottom w:val="nil"/>
          <w:right w:val="nil"/>
          <w:between w:val="nil"/>
        </w:pBdr>
        <w:tabs>
          <w:tab w:val="left" w:pos="0"/>
        </w:tabs>
        <w:ind w:left="0" w:firstLine="0"/>
        <w:contextualSpacing/>
        <w:jc w:val="both"/>
        <w:rPr>
          <w:rFonts w:ascii="Times New Roman" w:hAnsi="Times New Roman"/>
          <w:sz w:val="28"/>
          <w:lang w:val="es-ES_tradnl"/>
        </w:rPr>
      </w:pPr>
      <w:r w:rsidRPr="00030313">
        <w:rPr>
          <w:rFonts w:ascii="Times New Roman" w:hAnsi="Times New Roman"/>
          <w:b/>
          <w:bCs/>
          <w:i/>
          <w:iCs/>
          <w:sz w:val="28"/>
          <w:lang w:eastAsia="es-ES"/>
        </w:rPr>
        <w:t>Legitimación en la causa por activa</w:t>
      </w:r>
      <w:r w:rsidRPr="00030313">
        <w:rPr>
          <w:rStyle w:val="Refdenotaalpie"/>
          <w:rFonts w:ascii="Times New Roman" w:hAnsi="Times New Roman"/>
          <w:b/>
          <w:bCs/>
          <w:sz w:val="28"/>
          <w:lang w:eastAsia="es-ES"/>
        </w:rPr>
        <w:footnoteReference w:id="23"/>
      </w:r>
      <w:r w:rsidRPr="00030313">
        <w:rPr>
          <w:rFonts w:ascii="Times New Roman" w:hAnsi="Times New Roman"/>
          <w:b/>
          <w:bCs/>
          <w:sz w:val="28"/>
          <w:lang w:eastAsia="es-ES"/>
        </w:rPr>
        <w:t>.</w:t>
      </w:r>
      <w:r w:rsidRPr="00030313">
        <w:rPr>
          <w:rFonts w:ascii="Times New Roman" w:hAnsi="Times New Roman"/>
          <w:b/>
          <w:bCs/>
          <w:i/>
          <w:iCs/>
          <w:sz w:val="28"/>
          <w:lang w:eastAsia="es-ES"/>
        </w:rPr>
        <w:t xml:space="preserve"> </w:t>
      </w:r>
      <w:r w:rsidRPr="00030313">
        <w:rPr>
          <w:rFonts w:ascii="Times New Roman" w:hAnsi="Times New Roman"/>
          <w:sz w:val="28"/>
          <w:lang w:eastAsia="es-ES"/>
        </w:rPr>
        <w:t xml:space="preserve">En el presente caso, la acción de tutela fue interpuesta por </w:t>
      </w:r>
      <w:r w:rsidRPr="00030313">
        <w:rPr>
          <w:rFonts w:ascii="Times New Roman" w:hAnsi="Times New Roman"/>
          <w:sz w:val="28"/>
          <w:lang w:eastAsia="es-ES"/>
        </w:rPr>
        <w:t>el</w:t>
      </w:r>
      <w:r w:rsidRPr="00030313">
        <w:rPr>
          <w:rFonts w:ascii="Times New Roman" w:hAnsi="Times New Roman"/>
          <w:sz w:val="28"/>
          <w:lang w:eastAsia="es-ES"/>
        </w:rPr>
        <w:t xml:space="preserve"> titular</w:t>
      </w:r>
      <w:r w:rsidRPr="00030313">
        <w:rPr>
          <w:rFonts w:ascii="Times New Roman" w:hAnsi="Times New Roman"/>
          <w:sz w:val="28"/>
          <w:lang w:eastAsia="es-ES"/>
        </w:rPr>
        <w:t xml:space="preserve"> de los derechos presuntamente afectados, esto es, </w:t>
      </w:r>
      <w:r w:rsidRPr="00030313">
        <w:rPr>
          <w:rFonts w:ascii="Times New Roman" w:hAnsi="Times New Roman"/>
          <w:i/>
          <w:iCs/>
          <w:sz w:val="28"/>
          <w:lang w:eastAsia="es-ES"/>
        </w:rPr>
        <w:t>Sergio</w:t>
      </w:r>
      <w:r w:rsidRPr="00030313">
        <w:rPr>
          <w:rFonts w:ascii="Times New Roman" w:hAnsi="Times New Roman"/>
          <w:sz w:val="28"/>
          <w:lang w:eastAsia="es-ES"/>
        </w:rPr>
        <w:t>,</w:t>
      </w:r>
      <w:r w:rsidRPr="00030313">
        <w:rPr>
          <w:rFonts w:ascii="Times New Roman" w:hAnsi="Times New Roman"/>
          <w:sz w:val="28"/>
          <w:lang w:eastAsia="es-ES"/>
        </w:rPr>
        <w:t xml:space="preserve"> </w:t>
      </w:r>
      <w:r w:rsidRPr="00030313">
        <w:rPr>
          <w:rFonts w:ascii="Times New Roman" w:hAnsi="Times New Roman"/>
          <w:sz w:val="28"/>
          <w:lang w:eastAsia="es-ES"/>
        </w:rPr>
        <w:t>por lo cual</w:t>
      </w:r>
      <w:r w:rsidRPr="00030313">
        <w:rPr>
          <w:rFonts w:ascii="Times New Roman" w:hAnsi="Times New Roman"/>
          <w:sz w:val="28"/>
          <w:lang w:eastAsia="es-ES"/>
        </w:rPr>
        <w:t xml:space="preserve">, la Sala </w:t>
      </w:r>
      <w:r w:rsidRPr="00030313">
        <w:rPr>
          <w:rFonts w:ascii="Times New Roman" w:hAnsi="Times New Roman"/>
          <w:sz w:val="28"/>
          <w:lang w:eastAsia="es-ES"/>
        </w:rPr>
        <w:t>acredita l</w:t>
      </w:r>
      <w:r w:rsidRPr="00030313">
        <w:rPr>
          <w:rFonts w:ascii="Times New Roman" w:hAnsi="Times New Roman"/>
          <w:sz w:val="28"/>
          <w:lang w:eastAsia="es-ES"/>
        </w:rPr>
        <w:t>a</w:t>
      </w:r>
      <w:r w:rsidRPr="00030313">
        <w:rPr>
          <w:rFonts w:ascii="Times New Roman" w:hAnsi="Times New Roman"/>
          <w:sz w:val="28"/>
          <w:lang w:eastAsia="es-ES"/>
        </w:rPr>
        <w:t xml:space="preserve"> legitimación en la causa por activa </w:t>
      </w:r>
      <w:r w:rsidRPr="00030313">
        <w:rPr>
          <w:rFonts w:ascii="Times New Roman" w:hAnsi="Times New Roman"/>
          <w:sz w:val="28"/>
          <w:lang w:eastAsia="es-ES"/>
        </w:rPr>
        <w:t xml:space="preserve">respecto de este asunto. </w:t>
      </w:r>
    </w:p>
    <w:p w:rsidR="00C36B4C" w:rsidRPr="00030313" w:rsidRDefault="00030313" w:rsidP="00C61937">
      <w:pPr>
        <w:pBdr>
          <w:top w:val="nil"/>
          <w:left w:val="nil"/>
          <w:bottom w:val="nil"/>
          <w:right w:val="nil"/>
          <w:between w:val="nil"/>
        </w:pBdr>
        <w:tabs>
          <w:tab w:val="left" w:pos="0"/>
        </w:tabs>
        <w:contextualSpacing/>
        <w:jc w:val="both"/>
        <w:rPr>
          <w:rFonts w:ascii="Times New Roman" w:hAnsi="Times New Roman"/>
          <w:sz w:val="28"/>
          <w:lang w:val="es-ES_tradnl"/>
        </w:rPr>
      </w:pPr>
    </w:p>
    <w:p w:rsidR="00C36B4C" w:rsidRPr="00030313" w:rsidRDefault="00030313" w:rsidP="00C61937">
      <w:pPr>
        <w:pStyle w:val="Prrafodelista"/>
        <w:numPr>
          <w:ilvl w:val="0"/>
          <w:numId w:val="6"/>
        </w:numPr>
        <w:pBdr>
          <w:top w:val="nil"/>
          <w:left w:val="nil"/>
          <w:bottom w:val="nil"/>
          <w:right w:val="nil"/>
          <w:between w:val="nil"/>
        </w:pBdr>
        <w:tabs>
          <w:tab w:val="left" w:pos="0"/>
        </w:tabs>
        <w:ind w:left="0" w:firstLine="0"/>
        <w:jc w:val="both"/>
        <w:rPr>
          <w:rFonts w:ascii="Times New Roman" w:hAnsi="Times New Roman"/>
          <w:sz w:val="28"/>
          <w:lang w:val="es-ES_tradnl"/>
        </w:rPr>
      </w:pPr>
      <w:r w:rsidRPr="00030313">
        <w:rPr>
          <w:rFonts w:ascii="Times New Roman" w:hAnsi="Times New Roman"/>
          <w:b/>
          <w:bCs/>
          <w:i/>
          <w:iCs/>
          <w:sz w:val="28"/>
          <w:lang w:eastAsia="es-ES"/>
        </w:rPr>
        <w:t>Legitimación en la causa por pasiva</w:t>
      </w:r>
      <w:r w:rsidRPr="00030313">
        <w:rPr>
          <w:rStyle w:val="Refdenotaalpie"/>
          <w:rFonts w:ascii="Times New Roman" w:hAnsi="Times New Roman"/>
          <w:sz w:val="28"/>
          <w:lang w:eastAsia="es-ES"/>
        </w:rPr>
        <w:footnoteReference w:id="24"/>
      </w:r>
      <w:r w:rsidRPr="00030313">
        <w:rPr>
          <w:rFonts w:ascii="Times New Roman" w:hAnsi="Times New Roman"/>
          <w:sz w:val="28"/>
          <w:lang w:eastAsia="es-ES"/>
        </w:rPr>
        <w:t>.</w:t>
      </w:r>
      <w:r w:rsidRPr="00030313">
        <w:rPr>
          <w:rFonts w:ascii="Times New Roman" w:hAnsi="Times New Roman"/>
          <w:sz w:val="28"/>
          <w:lang w:eastAsia="es-ES"/>
        </w:rPr>
        <w:t xml:space="preserve"> </w:t>
      </w:r>
      <w:r w:rsidRPr="00030313">
        <w:rPr>
          <w:rFonts w:ascii="Times New Roman" w:hAnsi="Times New Roman"/>
          <w:i/>
          <w:iCs/>
          <w:sz w:val="28"/>
          <w:lang w:eastAsia="es-ES"/>
        </w:rPr>
        <w:t>Sergio</w:t>
      </w:r>
      <w:r w:rsidRPr="00030313">
        <w:rPr>
          <w:rFonts w:ascii="Times New Roman" w:hAnsi="Times New Roman"/>
          <w:sz w:val="28"/>
          <w:lang w:eastAsia="es-ES"/>
        </w:rPr>
        <w:t xml:space="preserve"> </w:t>
      </w:r>
      <w:r w:rsidRPr="00030313">
        <w:rPr>
          <w:rFonts w:ascii="Times New Roman" w:hAnsi="Times New Roman"/>
          <w:sz w:val="28"/>
          <w:lang w:eastAsia="es-ES"/>
        </w:rPr>
        <w:t>dirigió la acción de tutela contra</w:t>
      </w:r>
      <w:r w:rsidRPr="00030313">
        <w:rPr>
          <w:rFonts w:ascii="Times New Roman" w:hAnsi="Times New Roman"/>
          <w:sz w:val="28"/>
          <w:lang w:eastAsia="es-ES"/>
        </w:rPr>
        <w:t xml:space="preserve"> la Registraduría Nacional del Estado Civil</w:t>
      </w:r>
      <w:r w:rsidRPr="00030313">
        <w:rPr>
          <w:rFonts w:ascii="Times New Roman" w:hAnsi="Times New Roman"/>
          <w:sz w:val="28"/>
          <w:lang w:eastAsia="es-ES"/>
        </w:rPr>
        <w:t xml:space="preserve">, entidad que según el </w:t>
      </w:r>
      <w:r w:rsidRPr="00030313">
        <w:rPr>
          <w:rFonts w:ascii="Times New Roman" w:hAnsi="Times New Roman"/>
          <w:sz w:val="28"/>
          <w:lang w:eastAsia="es-ES"/>
        </w:rPr>
        <w:t>artículo 120</w:t>
      </w:r>
      <w:r w:rsidRPr="00030313">
        <w:rPr>
          <w:rFonts w:ascii="Times New Roman" w:hAnsi="Times New Roman"/>
          <w:sz w:val="28"/>
          <w:lang w:eastAsia="es-ES"/>
        </w:rPr>
        <w:t xml:space="preserve"> y 266</w:t>
      </w:r>
      <w:r w:rsidRPr="00030313">
        <w:rPr>
          <w:rFonts w:ascii="Times New Roman" w:hAnsi="Times New Roman"/>
          <w:sz w:val="28"/>
          <w:lang w:eastAsia="es-ES"/>
        </w:rPr>
        <w:t xml:space="preserve"> de la Constitución Política, tiene a su cargo</w:t>
      </w:r>
      <w:r w:rsidRPr="00030313">
        <w:rPr>
          <w:rFonts w:ascii="Times New Roman" w:hAnsi="Times New Roman"/>
          <w:sz w:val="28"/>
          <w:lang w:eastAsia="es-ES"/>
        </w:rPr>
        <w:t xml:space="preserve"> las funciones que establezca la Ley, incluidas</w:t>
      </w:r>
      <w:r w:rsidRPr="00030313">
        <w:rPr>
          <w:rFonts w:ascii="Times New Roman" w:hAnsi="Times New Roman"/>
          <w:sz w:val="28"/>
          <w:lang w:eastAsia="es-ES"/>
        </w:rPr>
        <w:t xml:space="preserve"> la organización </w:t>
      </w:r>
      <w:r w:rsidRPr="00030313">
        <w:rPr>
          <w:rFonts w:ascii="Times New Roman" w:hAnsi="Times New Roman"/>
          <w:sz w:val="28"/>
          <w:lang w:eastAsia="es-ES"/>
        </w:rPr>
        <w:t>electoral y lo relativo a la identidad de las personas</w:t>
      </w:r>
      <w:r w:rsidRPr="00030313">
        <w:rPr>
          <w:rFonts w:ascii="Times New Roman" w:hAnsi="Times New Roman"/>
          <w:sz w:val="28"/>
          <w:lang w:eastAsia="es-ES"/>
        </w:rPr>
        <w:t xml:space="preserve">. Además, </w:t>
      </w:r>
      <w:r w:rsidRPr="00030313">
        <w:rPr>
          <w:rFonts w:ascii="Times New Roman" w:hAnsi="Times New Roman"/>
          <w:sz w:val="28"/>
          <w:lang w:eastAsia="es-ES"/>
        </w:rPr>
        <w:t xml:space="preserve">según el Decreto </w:t>
      </w:r>
      <w:r w:rsidRPr="00030313">
        <w:rPr>
          <w:rFonts w:ascii="Times New Roman" w:hAnsi="Times New Roman"/>
          <w:sz w:val="28"/>
          <w:lang w:eastAsia="es-ES"/>
        </w:rPr>
        <w:t>620 de 2020</w:t>
      </w:r>
      <w:r w:rsidRPr="00030313">
        <w:rPr>
          <w:rStyle w:val="Refdenotaalpie"/>
          <w:rFonts w:ascii="Times New Roman" w:hAnsi="Times New Roman"/>
          <w:sz w:val="28"/>
          <w:lang w:eastAsia="es-ES"/>
        </w:rPr>
        <w:footnoteReference w:id="25"/>
      </w:r>
      <w:r w:rsidRPr="00030313" w:rsidDel="003B1EE7">
        <w:rPr>
          <w:rFonts w:ascii="Times New Roman" w:hAnsi="Times New Roman"/>
          <w:sz w:val="28"/>
          <w:lang w:eastAsia="es-ES"/>
        </w:rPr>
        <w:t xml:space="preserve"> </w:t>
      </w:r>
      <w:r w:rsidRPr="00030313">
        <w:rPr>
          <w:rFonts w:ascii="Times New Roman" w:hAnsi="Times New Roman"/>
          <w:sz w:val="28"/>
          <w:lang w:eastAsia="es-ES"/>
        </w:rPr>
        <w:t>la</w:t>
      </w:r>
      <w:r w:rsidRPr="00030313">
        <w:rPr>
          <w:rFonts w:ascii="Times New Roman" w:hAnsi="Times New Roman"/>
          <w:sz w:val="28"/>
          <w:lang w:eastAsia="es-ES"/>
        </w:rPr>
        <w:t xml:space="preserve"> “</w:t>
      </w:r>
      <w:r w:rsidRPr="00030313">
        <w:rPr>
          <w:rFonts w:ascii="Times New Roman" w:hAnsi="Times New Roman"/>
          <w:i/>
          <w:iCs/>
          <w:sz w:val="28"/>
          <w:lang w:eastAsia="es-ES"/>
        </w:rPr>
        <w:t>identificación por medios digitales, a través de</w:t>
      </w:r>
      <w:r w:rsidRPr="00030313">
        <w:rPr>
          <w:rFonts w:ascii="Times New Roman" w:hAnsi="Times New Roman"/>
          <w:i/>
          <w:iCs/>
          <w:sz w:val="28"/>
          <w:lang w:eastAsia="es-ES"/>
        </w:rPr>
        <w:t xml:space="preserve"> la cédula de ciudadanía digital y por biometría se regirá por las disposiciones que para tal efecto expida la Registraduría Nacional del Estado Civil, en el marco de su competencia.”</w:t>
      </w:r>
      <w:r w:rsidRPr="00030313">
        <w:rPr>
          <w:rFonts w:ascii="Times New Roman" w:hAnsi="Times New Roman"/>
          <w:sz w:val="28"/>
          <w:lang w:eastAsia="es-ES"/>
        </w:rPr>
        <w:t xml:space="preserve"> </w:t>
      </w:r>
      <w:r w:rsidRPr="00030313">
        <w:rPr>
          <w:rFonts w:ascii="Times New Roman" w:hAnsi="Times New Roman"/>
          <w:sz w:val="28"/>
          <w:lang w:eastAsia="es-ES"/>
        </w:rPr>
        <w:t xml:space="preserve">En esencia, la Sala Quinta de Revisión encuentra que </w:t>
      </w:r>
      <w:r w:rsidRPr="00030313">
        <w:rPr>
          <w:rFonts w:ascii="Times New Roman" w:hAnsi="Times New Roman"/>
          <w:sz w:val="28"/>
          <w:lang w:eastAsia="es-ES"/>
        </w:rPr>
        <w:t>la Registraduría Na</w:t>
      </w:r>
      <w:r w:rsidRPr="00030313">
        <w:rPr>
          <w:rFonts w:ascii="Times New Roman" w:hAnsi="Times New Roman"/>
          <w:sz w:val="28"/>
          <w:lang w:eastAsia="es-ES"/>
        </w:rPr>
        <w:t xml:space="preserve">cional del Estado Civil se encuentra legitimada por pasiva para responder por las solicitudes expuestas en la acción de tutela presentada por </w:t>
      </w:r>
      <w:r w:rsidRPr="00030313">
        <w:rPr>
          <w:rFonts w:ascii="Times New Roman" w:hAnsi="Times New Roman"/>
          <w:i/>
          <w:iCs/>
          <w:sz w:val="28"/>
          <w:lang w:eastAsia="es-ES"/>
        </w:rPr>
        <w:t>Sergio</w:t>
      </w:r>
      <w:r w:rsidRPr="00030313">
        <w:rPr>
          <w:rFonts w:ascii="Times New Roman" w:hAnsi="Times New Roman"/>
          <w:sz w:val="28"/>
          <w:lang w:eastAsia="es-ES"/>
        </w:rPr>
        <w:t xml:space="preserve">, con base en las </w:t>
      </w:r>
      <w:r w:rsidRPr="00030313">
        <w:rPr>
          <w:rFonts w:ascii="Times New Roman" w:hAnsi="Times New Roman"/>
          <w:sz w:val="28"/>
          <w:lang w:eastAsia="es-ES"/>
        </w:rPr>
        <w:t xml:space="preserve">funciones que tiene a su cargo, de rango constitucional y legal. </w:t>
      </w:r>
    </w:p>
    <w:p w:rsidR="00C36B4C" w:rsidRPr="00030313" w:rsidRDefault="00030313" w:rsidP="00C61937">
      <w:pPr>
        <w:pBdr>
          <w:top w:val="nil"/>
          <w:left w:val="nil"/>
          <w:bottom w:val="nil"/>
          <w:right w:val="nil"/>
          <w:between w:val="nil"/>
        </w:pBdr>
        <w:tabs>
          <w:tab w:val="left" w:pos="0"/>
        </w:tabs>
        <w:contextualSpacing/>
        <w:jc w:val="both"/>
        <w:rPr>
          <w:rFonts w:ascii="Times New Roman" w:hAnsi="Times New Roman"/>
          <w:sz w:val="28"/>
          <w:lang w:val="es-ES_tradnl"/>
        </w:rPr>
      </w:pPr>
    </w:p>
    <w:p w:rsidR="00C36B4C" w:rsidRPr="00030313" w:rsidRDefault="00030313" w:rsidP="00C61937">
      <w:pPr>
        <w:numPr>
          <w:ilvl w:val="0"/>
          <w:numId w:val="6"/>
        </w:numPr>
        <w:pBdr>
          <w:top w:val="nil"/>
          <w:left w:val="nil"/>
          <w:bottom w:val="nil"/>
          <w:right w:val="nil"/>
          <w:between w:val="nil"/>
        </w:pBdr>
        <w:ind w:left="0" w:firstLine="0"/>
        <w:contextualSpacing/>
        <w:jc w:val="both"/>
        <w:rPr>
          <w:rFonts w:ascii="Times New Roman" w:hAnsi="Times New Roman"/>
          <w:sz w:val="28"/>
          <w:lang w:val="es-ES_tradnl"/>
        </w:rPr>
      </w:pPr>
      <w:r w:rsidRPr="00030313">
        <w:rPr>
          <w:rFonts w:ascii="Times New Roman" w:hAnsi="Times New Roman"/>
          <w:b/>
          <w:bCs/>
          <w:i/>
          <w:iCs/>
          <w:sz w:val="28"/>
        </w:rPr>
        <w:t>Inmediatez</w:t>
      </w:r>
      <w:r w:rsidRPr="00030313">
        <w:rPr>
          <w:rFonts w:ascii="Times New Roman" w:hAnsi="Times New Roman"/>
          <w:sz w:val="28"/>
          <w:vertAlign w:val="superscript"/>
        </w:rPr>
        <w:footnoteReference w:id="26"/>
      </w:r>
      <w:r w:rsidRPr="00030313">
        <w:rPr>
          <w:rFonts w:ascii="Times New Roman" w:hAnsi="Times New Roman"/>
          <w:b/>
          <w:bCs/>
          <w:i/>
          <w:iCs/>
          <w:sz w:val="28"/>
        </w:rPr>
        <w:t>.</w:t>
      </w:r>
      <w:r w:rsidRPr="00030313">
        <w:rPr>
          <w:rFonts w:ascii="Times New Roman" w:hAnsi="Times New Roman"/>
          <w:sz w:val="28"/>
        </w:rPr>
        <w:t xml:space="preserve"> Según los hechos expuestos </w:t>
      </w:r>
      <w:r w:rsidRPr="00030313">
        <w:rPr>
          <w:rFonts w:ascii="Times New Roman" w:hAnsi="Times New Roman"/>
          <w:sz w:val="28"/>
        </w:rPr>
        <w:t>en la demanda</w:t>
      </w:r>
      <w:r w:rsidRPr="00030313">
        <w:rPr>
          <w:rFonts w:ascii="Times New Roman" w:hAnsi="Times New Roman"/>
          <w:sz w:val="28"/>
        </w:rPr>
        <w:t xml:space="preserve">, </w:t>
      </w:r>
      <w:r w:rsidRPr="00030313">
        <w:rPr>
          <w:rFonts w:ascii="Times New Roman" w:hAnsi="Times New Roman"/>
          <w:sz w:val="28"/>
        </w:rPr>
        <w:t>el 22 de febrero de 2024 la persona accionante</w:t>
      </w:r>
      <w:r w:rsidRPr="00030313">
        <w:rPr>
          <w:rFonts w:ascii="Times New Roman" w:hAnsi="Times New Roman"/>
          <w:sz w:val="28"/>
        </w:rPr>
        <w:t xml:space="preserve"> se comunicó </w:t>
      </w:r>
      <w:r w:rsidRPr="00030313">
        <w:rPr>
          <w:rFonts w:ascii="Times New Roman" w:hAnsi="Times New Roman"/>
          <w:sz w:val="28"/>
        </w:rPr>
        <w:t xml:space="preserve">con la Registraduría Auxiliar de Villa Country para </w:t>
      </w:r>
      <w:r w:rsidRPr="00030313">
        <w:rPr>
          <w:rFonts w:ascii="Times New Roman" w:hAnsi="Times New Roman"/>
          <w:sz w:val="28"/>
        </w:rPr>
        <w:t>realizar el trámite de la cedula digital, momento en el que le negaron esa posibilidad</w:t>
      </w:r>
      <w:r w:rsidRPr="00030313">
        <w:rPr>
          <w:rFonts w:ascii="Times New Roman" w:hAnsi="Times New Roman"/>
          <w:sz w:val="28"/>
        </w:rPr>
        <w:t xml:space="preserve"> al no contar co</w:t>
      </w:r>
      <w:r w:rsidRPr="00030313">
        <w:rPr>
          <w:rFonts w:ascii="Times New Roman" w:hAnsi="Times New Roman"/>
          <w:sz w:val="28"/>
        </w:rPr>
        <w:t>n el marcador NB,</w:t>
      </w:r>
      <w:r w:rsidRPr="00030313">
        <w:rPr>
          <w:rFonts w:ascii="Times New Roman" w:hAnsi="Times New Roman"/>
          <w:sz w:val="28"/>
        </w:rPr>
        <w:t xml:space="preserve"> </w:t>
      </w:r>
      <w:r w:rsidRPr="00030313">
        <w:rPr>
          <w:rFonts w:ascii="Times New Roman" w:hAnsi="Times New Roman"/>
          <w:sz w:val="28"/>
        </w:rPr>
        <w:t xml:space="preserve">y el </w:t>
      </w:r>
      <w:r w:rsidRPr="00030313">
        <w:rPr>
          <w:rFonts w:ascii="Times New Roman" w:hAnsi="Times New Roman"/>
          <w:sz w:val="28"/>
        </w:rPr>
        <w:t xml:space="preserve">26 de febrero </w:t>
      </w:r>
      <w:r w:rsidRPr="00030313">
        <w:rPr>
          <w:rFonts w:ascii="Times New Roman" w:hAnsi="Times New Roman"/>
          <w:sz w:val="28"/>
        </w:rPr>
        <w:t xml:space="preserve">siguiente presentó la </w:t>
      </w:r>
      <w:r w:rsidRPr="00030313">
        <w:rPr>
          <w:rFonts w:ascii="Times New Roman" w:hAnsi="Times New Roman"/>
          <w:sz w:val="28"/>
        </w:rPr>
        <w:t xml:space="preserve">acción de tutela. En consecuencia, la Sala observa que </w:t>
      </w:r>
      <w:r w:rsidRPr="00030313">
        <w:rPr>
          <w:rFonts w:ascii="Times New Roman" w:hAnsi="Times New Roman"/>
          <w:sz w:val="28"/>
        </w:rPr>
        <w:t>se acredita un tiempo</w:t>
      </w:r>
      <w:r w:rsidRPr="00030313">
        <w:rPr>
          <w:rFonts w:ascii="Times New Roman" w:hAnsi="Times New Roman"/>
          <w:sz w:val="28"/>
        </w:rPr>
        <w:t xml:space="preserve"> </w:t>
      </w:r>
      <w:r w:rsidRPr="00030313">
        <w:rPr>
          <w:rFonts w:ascii="Times New Roman" w:hAnsi="Times New Roman"/>
          <w:sz w:val="28"/>
        </w:rPr>
        <w:t>razonable</w:t>
      </w:r>
      <w:r w:rsidRPr="00030313">
        <w:rPr>
          <w:rFonts w:ascii="Times New Roman" w:hAnsi="Times New Roman"/>
          <w:sz w:val="28"/>
        </w:rPr>
        <w:t xml:space="preserve"> </w:t>
      </w:r>
      <w:r w:rsidRPr="00030313">
        <w:rPr>
          <w:rFonts w:ascii="Times New Roman" w:hAnsi="Times New Roman"/>
          <w:sz w:val="28"/>
        </w:rPr>
        <w:t xml:space="preserve">en el ejercicio del </w:t>
      </w:r>
      <w:r w:rsidRPr="00030313">
        <w:rPr>
          <w:rFonts w:ascii="Times New Roman" w:hAnsi="Times New Roman"/>
          <w:sz w:val="28"/>
        </w:rPr>
        <w:t>mecanismo de protección</w:t>
      </w:r>
      <w:r w:rsidRPr="00030313">
        <w:rPr>
          <w:rFonts w:ascii="Times New Roman" w:hAnsi="Times New Roman"/>
          <w:sz w:val="28"/>
        </w:rPr>
        <w:t xml:space="preserve"> constitucional</w:t>
      </w:r>
      <w:r w:rsidRPr="00030313">
        <w:rPr>
          <w:rFonts w:ascii="Times New Roman" w:hAnsi="Times New Roman"/>
          <w:sz w:val="28"/>
        </w:rPr>
        <w:t xml:space="preserve">. </w:t>
      </w:r>
      <w:r w:rsidRPr="00030313">
        <w:rPr>
          <w:rFonts w:ascii="Times New Roman" w:hAnsi="Times New Roman"/>
          <w:sz w:val="28"/>
        </w:rPr>
        <w:t>En efecto, pasaron solo cuatro días desde la negat</w:t>
      </w:r>
      <w:r w:rsidRPr="00030313">
        <w:rPr>
          <w:rFonts w:ascii="Times New Roman" w:hAnsi="Times New Roman"/>
          <w:sz w:val="28"/>
        </w:rPr>
        <w:t xml:space="preserve">iva de la accionada de expedir el documento solicitado y </w:t>
      </w:r>
      <w:r w:rsidRPr="00030313">
        <w:rPr>
          <w:rFonts w:ascii="Times New Roman" w:hAnsi="Times New Roman"/>
          <w:sz w:val="28"/>
        </w:rPr>
        <w:t>la interposición de la demanda</w:t>
      </w:r>
      <w:r w:rsidRPr="00030313">
        <w:rPr>
          <w:rFonts w:ascii="Times New Roman" w:hAnsi="Times New Roman"/>
          <w:sz w:val="28"/>
        </w:rPr>
        <w:t xml:space="preserve">. </w:t>
      </w:r>
      <w:r w:rsidRPr="00030313">
        <w:rPr>
          <w:rFonts w:ascii="Times New Roman" w:hAnsi="Times New Roman"/>
          <w:sz w:val="28"/>
        </w:rPr>
        <w:t>Por consiguiente,</w:t>
      </w:r>
      <w:r w:rsidRPr="00030313">
        <w:rPr>
          <w:rFonts w:ascii="Times New Roman" w:hAnsi="Times New Roman"/>
          <w:sz w:val="28"/>
        </w:rPr>
        <w:t xml:space="preserve"> se acredita el cumplimiento del requisito de inmediatez en el caso concreto. </w:t>
      </w:r>
    </w:p>
    <w:p w:rsidR="006F792C" w:rsidRPr="00030313" w:rsidRDefault="00030313" w:rsidP="00C61937">
      <w:pPr>
        <w:pBdr>
          <w:top w:val="nil"/>
          <w:left w:val="nil"/>
          <w:bottom w:val="nil"/>
          <w:right w:val="nil"/>
          <w:between w:val="nil"/>
        </w:pBdr>
        <w:contextualSpacing/>
        <w:jc w:val="both"/>
        <w:rPr>
          <w:rFonts w:ascii="Times New Roman" w:hAnsi="Times New Roman"/>
          <w:sz w:val="28"/>
          <w:lang w:val="es-ES_tradnl"/>
        </w:rPr>
      </w:pPr>
    </w:p>
    <w:p w:rsidR="00F52081" w:rsidRPr="00030313" w:rsidRDefault="00030313" w:rsidP="00C61937">
      <w:pPr>
        <w:numPr>
          <w:ilvl w:val="0"/>
          <w:numId w:val="6"/>
        </w:numPr>
        <w:ind w:left="0" w:firstLine="0"/>
        <w:jc w:val="both"/>
        <w:rPr>
          <w:rFonts w:ascii="Times New Roman" w:hAnsi="Times New Roman"/>
          <w:sz w:val="28"/>
        </w:rPr>
      </w:pPr>
      <w:r w:rsidRPr="00030313">
        <w:rPr>
          <w:rFonts w:ascii="Times New Roman" w:hAnsi="Times New Roman"/>
          <w:b/>
          <w:bCs/>
          <w:i/>
          <w:iCs/>
          <w:sz w:val="28"/>
          <w:lang w:val="es-ES_tradnl"/>
        </w:rPr>
        <w:t>Subsidiariedad</w:t>
      </w:r>
      <w:r w:rsidRPr="00030313">
        <w:rPr>
          <w:rStyle w:val="Refdenotaalpie"/>
          <w:rFonts w:ascii="Times New Roman" w:hAnsi="Times New Roman"/>
          <w:sz w:val="28"/>
          <w:lang w:val="es-ES_tradnl"/>
        </w:rPr>
        <w:footnoteReference w:id="27"/>
      </w:r>
      <w:r w:rsidRPr="00030313">
        <w:rPr>
          <w:rFonts w:ascii="Times New Roman" w:hAnsi="Times New Roman"/>
          <w:sz w:val="28"/>
          <w:lang w:val="es-ES_tradnl"/>
        </w:rPr>
        <w:t>.</w:t>
      </w:r>
      <w:r w:rsidRPr="00030313">
        <w:rPr>
          <w:rFonts w:ascii="Times New Roman" w:hAnsi="Times New Roman"/>
          <w:sz w:val="28"/>
          <w:lang w:val="es-ES_tradnl"/>
        </w:rPr>
        <w:t xml:space="preserve"> </w:t>
      </w:r>
      <w:r w:rsidRPr="00030313">
        <w:rPr>
          <w:rFonts w:ascii="Times New Roman" w:hAnsi="Times New Roman"/>
          <w:sz w:val="28"/>
          <w:lang w:val="es-ES_tradnl"/>
        </w:rPr>
        <w:t xml:space="preserve">La jurisprudencia de la Corte Constitucional ha </w:t>
      </w:r>
      <w:r w:rsidRPr="00030313">
        <w:rPr>
          <w:rFonts w:ascii="Times New Roman" w:hAnsi="Times New Roman"/>
          <w:sz w:val="28"/>
          <w:lang w:val="es-ES_tradnl"/>
        </w:rPr>
        <w:t>señalado que</w:t>
      </w:r>
      <w:r w:rsidRPr="00030313">
        <w:rPr>
          <w:rFonts w:ascii="Times New Roman" w:hAnsi="Times New Roman"/>
          <w:sz w:val="28"/>
          <w:lang w:val="es-ES_tradnl"/>
        </w:rPr>
        <w:t>,</w:t>
      </w:r>
      <w:r w:rsidRPr="00030313">
        <w:rPr>
          <w:rFonts w:ascii="Times New Roman" w:hAnsi="Times New Roman"/>
          <w:sz w:val="28"/>
          <w:lang w:val="es-ES_tradnl"/>
        </w:rPr>
        <w:t xml:space="preserve"> para </w:t>
      </w:r>
      <w:r w:rsidRPr="00030313">
        <w:rPr>
          <w:rFonts w:ascii="Times New Roman" w:hAnsi="Times New Roman"/>
          <w:sz w:val="28"/>
          <w:lang w:val="es-ES_tradnl"/>
        </w:rPr>
        <w:t>modificar</w:t>
      </w:r>
      <w:r w:rsidRPr="00030313">
        <w:rPr>
          <w:rFonts w:ascii="Times New Roman" w:hAnsi="Times New Roman"/>
          <w:sz w:val="28"/>
          <w:lang w:val="es-ES_tradnl"/>
        </w:rPr>
        <w:t xml:space="preserve"> componentes del registro civil</w:t>
      </w:r>
      <w:r w:rsidRPr="00030313">
        <w:rPr>
          <w:rFonts w:ascii="Times New Roman" w:hAnsi="Times New Roman"/>
          <w:sz w:val="28"/>
          <w:lang w:val="es-ES_tradnl"/>
        </w:rPr>
        <w:t xml:space="preserve">, el ordenamiento jurídico prevé un proceso de jurisdicción voluntaria consagrado en el </w:t>
      </w:r>
      <w:r w:rsidRPr="00030313">
        <w:rPr>
          <w:rFonts w:ascii="Times New Roman" w:hAnsi="Times New Roman"/>
          <w:sz w:val="28"/>
          <w:lang w:val="es-ES_tradnl"/>
        </w:rPr>
        <w:t>artículo 577 de la Ley 1564 de 2012</w:t>
      </w:r>
      <w:r w:rsidRPr="00030313">
        <w:rPr>
          <w:rStyle w:val="Refdenotaalpie"/>
          <w:rFonts w:ascii="Times New Roman" w:hAnsi="Times New Roman"/>
          <w:sz w:val="28"/>
          <w:lang w:val="es-ES_tradnl"/>
        </w:rPr>
        <w:footnoteReference w:id="28"/>
      </w:r>
      <w:r w:rsidRPr="00030313">
        <w:rPr>
          <w:rFonts w:ascii="Times New Roman" w:hAnsi="Times New Roman"/>
          <w:sz w:val="28"/>
          <w:lang w:val="es-ES_tradnl"/>
        </w:rPr>
        <w:t xml:space="preserve"> y el numeral 6 del artículo 18 de</w:t>
      </w:r>
      <w:r w:rsidRPr="00030313">
        <w:rPr>
          <w:rFonts w:ascii="Times New Roman" w:hAnsi="Times New Roman"/>
          <w:sz w:val="28"/>
          <w:lang w:val="es-ES_tradnl"/>
        </w:rPr>
        <w:t>l mismo estatuto</w:t>
      </w:r>
      <w:r w:rsidRPr="00030313">
        <w:rPr>
          <w:rStyle w:val="Refdenotaalpie"/>
          <w:rFonts w:ascii="Times New Roman" w:hAnsi="Times New Roman"/>
          <w:sz w:val="28"/>
          <w:lang w:val="es-ES_tradnl"/>
        </w:rPr>
        <w:footnoteReference w:id="29"/>
      </w:r>
      <w:r w:rsidRPr="00030313">
        <w:rPr>
          <w:rFonts w:ascii="Times New Roman" w:hAnsi="Times New Roman"/>
          <w:sz w:val="28"/>
          <w:lang w:val="es-ES_tradnl"/>
        </w:rPr>
        <w:t>.</w:t>
      </w:r>
      <w:r w:rsidRPr="00030313">
        <w:rPr>
          <w:rFonts w:ascii="Times New Roman" w:hAnsi="Times New Roman"/>
          <w:sz w:val="28"/>
          <w:lang w:val="es-ES_tradnl"/>
        </w:rPr>
        <w:t xml:space="preserve"> </w:t>
      </w:r>
      <w:r w:rsidRPr="00030313">
        <w:rPr>
          <w:rFonts w:ascii="Times New Roman" w:hAnsi="Times New Roman"/>
          <w:sz w:val="28"/>
          <w:lang w:val="es-ES_tradnl"/>
        </w:rPr>
        <w:t xml:space="preserve">En ese sentido, </w:t>
      </w:r>
      <w:r w:rsidRPr="00030313">
        <w:rPr>
          <w:rFonts w:ascii="Times New Roman" w:hAnsi="Times New Roman"/>
          <w:sz w:val="28"/>
          <w:lang w:val="es-ES_tradnl"/>
        </w:rPr>
        <w:t xml:space="preserve">bien ha </w:t>
      </w:r>
      <w:r w:rsidRPr="00030313">
        <w:rPr>
          <w:rFonts w:ascii="Times New Roman" w:hAnsi="Times New Roman"/>
          <w:sz w:val="28"/>
          <w:lang w:val="es-ES_tradnl"/>
        </w:rPr>
        <w:t>señalado</w:t>
      </w:r>
      <w:r w:rsidRPr="00030313">
        <w:rPr>
          <w:rFonts w:ascii="Times New Roman" w:hAnsi="Times New Roman"/>
          <w:sz w:val="28"/>
          <w:lang w:val="es-ES_tradnl"/>
        </w:rPr>
        <w:t xml:space="preserve"> la jurisprudencia que “</w:t>
      </w:r>
      <w:r w:rsidRPr="00030313">
        <w:rPr>
          <w:rFonts w:ascii="Times New Roman" w:hAnsi="Times New Roman"/>
          <w:i/>
          <w:iCs/>
          <w:sz w:val="28"/>
          <w:lang w:val="es-ES_tradnl"/>
        </w:rPr>
        <w:t xml:space="preserve">es claro que el proceso de jurisdicción voluntaria </w:t>
      </w:r>
      <w:r w:rsidRPr="00030313">
        <w:rPr>
          <w:rFonts w:ascii="Times New Roman" w:hAnsi="Times New Roman"/>
          <w:i/>
          <w:iCs/>
          <w:sz w:val="28"/>
          <w:lang w:val="es-ES_tradnl"/>
        </w:rPr>
        <w:t xml:space="preserve">se encuentra previsto </w:t>
      </w:r>
      <w:r w:rsidRPr="00030313">
        <w:rPr>
          <w:rFonts w:ascii="Times New Roman" w:hAnsi="Times New Roman"/>
          <w:i/>
          <w:iCs/>
          <w:sz w:val="28"/>
          <w:lang w:val="es-ES_tradnl"/>
        </w:rPr>
        <w:t xml:space="preserve">para la modificación del nombre y del sexo de las personas en el registro civil. No obstante, cuando </w:t>
      </w:r>
      <w:r w:rsidRPr="00030313">
        <w:rPr>
          <w:rFonts w:ascii="Times New Roman" w:hAnsi="Times New Roman"/>
          <w:i/>
          <w:iCs/>
          <w:sz w:val="28"/>
          <w:lang w:val="es-ES_tradnl"/>
        </w:rPr>
        <w:t>se trata de quienes han consolidado identi</w:t>
      </w:r>
      <w:r w:rsidRPr="00030313">
        <w:rPr>
          <w:rFonts w:ascii="Times New Roman" w:hAnsi="Times New Roman"/>
          <w:i/>
          <w:iCs/>
          <w:sz w:val="28"/>
          <w:lang w:val="es-ES_tradnl"/>
        </w:rPr>
        <w:t>dades de género diversas, la jurisprudencia ha entendido que este mecanismo no es idóneo ni efectivo para su protección”</w:t>
      </w:r>
      <w:r w:rsidRPr="00030313">
        <w:rPr>
          <w:rStyle w:val="Refdenotaalpie"/>
          <w:rFonts w:ascii="Times New Roman" w:hAnsi="Times New Roman"/>
          <w:sz w:val="28"/>
          <w:lang w:val="es-ES_tradnl"/>
        </w:rPr>
        <w:footnoteReference w:id="30"/>
      </w:r>
      <w:r w:rsidRPr="00030313">
        <w:rPr>
          <w:rFonts w:ascii="Times New Roman" w:hAnsi="Times New Roman"/>
          <w:i/>
          <w:iCs/>
          <w:sz w:val="28"/>
          <w:lang w:val="es-ES_tradnl"/>
        </w:rPr>
        <w:t>.</w:t>
      </w:r>
      <w:r w:rsidRPr="00030313">
        <w:rPr>
          <w:rFonts w:ascii="Times New Roman" w:hAnsi="Times New Roman"/>
          <w:sz w:val="28"/>
          <w:lang w:val="es-ES_tradnl"/>
        </w:rPr>
        <w:t xml:space="preserve"> Por otro lado</w:t>
      </w:r>
      <w:r w:rsidRPr="00030313">
        <w:rPr>
          <w:rFonts w:ascii="Times New Roman" w:hAnsi="Times New Roman"/>
          <w:sz w:val="28"/>
          <w:lang w:val="es-ES_tradnl"/>
        </w:rPr>
        <w:t>, la Corte Constitucional</w:t>
      </w:r>
      <w:r w:rsidRPr="00030313">
        <w:rPr>
          <w:rFonts w:ascii="Times New Roman" w:hAnsi="Times New Roman"/>
          <w:sz w:val="28"/>
          <w:lang w:val="es-ES_tradnl"/>
        </w:rPr>
        <w:t xml:space="preserve"> también</w:t>
      </w:r>
      <w:r w:rsidRPr="00030313">
        <w:rPr>
          <w:rFonts w:ascii="Times New Roman" w:hAnsi="Times New Roman"/>
          <w:sz w:val="28"/>
          <w:lang w:val="es-ES_tradnl"/>
        </w:rPr>
        <w:t xml:space="preserve"> ha señalado que en aquellos casos en los cuales </w:t>
      </w:r>
      <w:r w:rsidRPr="00030313">
        <w:rPr>
          <w:rFonts w:ascii="Times New Roman" w:hAnsi="Times New Roman"/>
          <w:sz w:val="28"/>
          <w:lang w:val="es-ES_tradnl"/>
        </w:rPr>
        <w:t>se hubie</w:t>
      </w:r>
      <w:r w:rsidRPr="00030313">
        <w:rPr>
          <w:rFonts w:ascii="Times New Roman" w:hAnsi="Times New Roman"/>
          <w:sz w:val="28"/>
          <w:lang w:val="es-ES_tradnl"/>
        </w:rPr>
        <w:t>sen</w:t>
      </w:r>
      <w:r w:rsidRPr="00030313">
        <w:rPr>
          <w:rFonts w:ascii="Times New Roman" w:hAnsi="Times New Roman"/>
          <w:sz w:val="28"/>
          <w:lang w:val="es-ES_tradnl"/>
        </w:rPr>
        <w:t xml:space="preserve"> </w:t>
      </w:r>
      <w:r w:rsidRPr="00030313">
        <w:rPr>
          <w:rFonts w:ascii="Times New Roman" w:hAnsi="Times New Roman"/>
          <w:sz w:val="28"/>
          <w:lang w:val="es-ES_tradnl"/>
        </w:rPr>
        <w:t xml:space="preserve">anulado registros civiles </w:t>
      </w:r>
      <w:r w:rsidRPr="00030313">
        <w:rPr>
          <w:rFonts w:ascii="Times New Roman" w:hAnsi="Times New Roman"/>
          <w:sz w:val="28"/>
          <w:lang w:val="es-ES_tradnl"/>
        </w:rPr>
        <w:t xml:space="preserve">y se </w:t>
      </w:r>
      <w:r w:rsidRPr="00030313">
        <w:rPr>
          <w:rFonts w:ascii="Times New Roman" w:hAnsi="Times New Roman"/>
          <w:sz w:val="28"/>
          <w:lang w:val="es-ES_tradnl"/>
        </w:rPr>
        <w:t>hubie</w:t>
      </w:r>
      <w:r w:rsidRPr="00030313">
        <w:rPr>
          <w:rFonts w:ascii="Times New Roman" w:hAnsi="Times New Roman"/>
          <w:sz w:val="28"/>
          <w:lang w:val="es-ES_tradnl"/>
        </w:rPr>
        <w:t>sen</w:t>
      </w:r>
      <w:r w:rsidRPr="00030313">
        <w:rPr>
          <w:rFonts w:ascii="Times New Roman" w:hAnsi="Times New Roman"/>
          <w:sz w:val="28"/>
          <w:lang w:val="es-ES_tradnl"/>
        </w:rPr>
        <w:t xml:space="preserve"> </w:t>
      </w:r>
      <w:r w:rsidRPr="00030313">
        <w:rPr>
          <w:rFonts w:ascii="Times New Roman" w:hAnsi="Times New Roman"/>
          <w:sz w:val="28"/>
          <w:lang w:val="es-ES_tradnl"/>
        </w:rPr>
        <w:t>cancelado</w:t>
      </w:r>
      <w:r w:rsidRPr="00030313">
        <w:rPr>
          <w:rFonts w:ascii="Times New Roman" w:hAnsi="Times New Roman"/>
          <w:sz w:val="28"/>
          <w:lang w:val="es-ES_tradnl"/>
        </w:rPr>
        <w:t xml:space="preserve"> </w:t>
      </w:r>
      <w:r w:rsidRPr="00030313">
        <w:rPr>
          <w:rFonts w:ascii="Times New Roman" w:hAnsi="Times New Roman"/>
          <w:sz w:val="28"/>
          <w:lang w:val="es-ES_tradnl"/>
        </w:rPr>
        <w:t>cédulas de ciudadanía</w:t>
      </w:r>
      <w:r w:rsidRPr="00030313">
        <w:rPr>
          <w:rFonts w:ascii="Times New Roman" w:hAnsi="Times New Roman"/>
          <w:sz w:val="28"/>
          <w:lang w:val="es-ES_tradnl"/>
        </w:rPr>
        <w:t xml:space="preserve"> por medio de actos administrativos, el medio judicial idóneo </w:t>
      </w:r>
      <w:r w:rsidRPr="00030313">
        <w:rPr>
          <w:rFonts w:ascii="Times New Roman" w:hAnsi="Times New Roman"/>
          <w:sz w:val="28"/>
          <w:lang w:val="es-ES_tradnl"/>
        </w:rPr>
        <w:t xml:space="preserve">para </w:t>
      </w:r>
      <w:r w:rsidRPr="00030313">
        <w:rPr>
          <w:rFonts w:ascii="Times New Roman" w:hAnsi="Times New Roman"/>
          <w:sz w:val="28"/>
          <w:lang w:val="es-ES_tradnl"/>
        </w:rPr>
        <w:t>restaurar la situación jurídica</w:t>
      </w:r>
      <w:r w:rsidRPr="00030313">
        <w:rPr>
          <w:rFonts w:ascii="Times New Roman" w:hAnsi="Times New Roman"/>
          <w:sz w:val="28"/>
          <w:lang w:val="es-ES_tradnl"/>
        </w:rPr>
        <w:t xml:space="preserve"> del afectado</w:t>
      </w:r>
      <w:r w:rsidRPr="00030313">
        <w:rPr>
          <w:rFonts w:ascii="Times New Roman" w:hAnsi="Times New Roman"/>
          <w:sz w:val="28"/>
          <w:lang w:val="es-ES_tradnl"/>
        </w:rPr>
        <w:t xml:space="preserve"> al estado de cosas anterior a la expedición de dichos actos administrativos expedidos por la Regist</w:t>
      </w:r>
      <w:r w:rsidRPr="00030313">
        <w:rPr>
          <w:rFonts w:ascii="Times New Roman" w:hAnsi="Times New Roman"/>
          <w:sz w:val="28"/>
          <w:lang w:val="es-ES_tradnl"/>
        </w:rPr>
        <w:t>raduría</w:t>
      </w:r>
      <w:r w:rsidRPr="00030313">
        <w:rPr>
          <w:rFonts w:ascii="Times New Roman" w:hAnsi="Times New Roman"/>
          <w:sz w:val="28"/>
          <w:lang w:val="es-ES_tradnl"/>
        </w:rPr>
        <w:t>, conllevaría</w:t>
      </w:r>
      <w:r w:rsidRPr="00030313">
        <w:rPr>
          <w:rFonts w:ascii="Times New Roman" w:hAnsi="Times New Roman"/>
          <w:sz w:val="28"/>
          <w:lang w:val="es-ES_tradnl"/>
        </w:rPr>
        <w:t xml:space="preserve"> a</w:t>
      </w:r>
      <w:r w:rsidRPr="00030313">
        <w:rPr>
          <w:rFonts w:ascii="Times New Roman" w:hAnsi="Times New Roman"/>
          <w:sz w:val="28"/>
          <w:lang w:val="es-ES_tradnl"/>
        </w:rPr>
        <w:t xml:space="preserve"> acudir directamente al medio de control de nulidad y </w:t>
      </w:r>
      <w:r w:rsidRPr="00030313">
        <w:rPr>
          <w:rFonts w:ascii="Times New Roman" w:hAnsi="Times New Roman"/>
          <w:sz w:val="28"/>
          <w:lang w:val="es-ES_tradnl"/>
        </w:rPr>
        <w:t>restablecimiento</w:t>
      </w:r>
      <w:r w:rsidRPr="00030313">
        <w:rPr>
          <w:rFonts w:ascii="Times New Roman" w:hAnsi="Times New Roman"/>
          <w:sz w:val="28"/>
          <w:lang w:val="es-ES_tradnl"/>
        </w:rPr>
        <w:t xml:space="preserve"> del derecho</w:t>
      </w:r>
      <w:r w:rsidRPr="00030313">
        <w:rPr>
          <w:rFonts w:ascii="Times New Roman" w:hAnsi="Times New Roman"/>
          <w:sz w:val="28"/>
          <w:lang w:val="es-ES_tradnl"/>
        </w:rPr>
        <w:t>,</w:t>
      </w:r>
      <w:r w:rsidRPr="00030313">
        <w:rPr>
          <w:rFonts w:ascii="Times New Roman" w:hAnsi="Times New Roman"/>
          <w:sz w:val="28"/>
          <w:lang w:val="es-ES_tradnl"/>
        </w:rPr>
        <w:t xml:space="preserve"> consagrado en el artículo 138 de la Ley 1437 de 2011</w:t>
      </w:r>
      <w:r w:rsidRPr="00030313">
        <w:rPr>
          <w:rFonts w:ascii="Times New Roman" w:hAnsi="Times New Roman"/>
          <w:sz w:val="28"/>
          <w:lang w:val="es-ES_tradnl"/>
        </w:rPr>
        <w:t xml:space="preserve">. </w:t>
      </w:r>
    </w:p>
    <w:p w:rsidR="00FF0083" w:rsidRPr="00030313" w:rsidRDefault="00030313" w:rsidP="00C61937">
      <w:pPr>
        <w:jc w:val="both"/>
        <w:rPr>
          <w:rFonts w:ascii="Times New Roman" w:hAnsi="Times New Roman"/>
          <w:sz w:val="28"/>
        </w:rPr>
      </w:pPr>
    </w:p>
    <w:p w:rsidR="00FF0083" w:rsidRPr="00030313" w:rsidRDefault="00030313" w:rsidP="00C61937">
      <w:pPr>
        <w:numPr>
          <w:ilvl w:val="0"/>
          <w:numId w:val="6"/>
        </w:numPr>
        <w:ind w:left="0" w:firstLine="0"/>
        <w:jc w:val="both"/>
        <w:rPr>
          <w:rFonts w:ascii="Times New Roman" w:hAnsi="Times New Roman"/>
          <w:sz w:val="28"/>
        </w:rPr>
      </w:pPr>
      <w:r w:rsidRPr="00030313">
        <w:rPr>
          <w:rFonts w:ascii="Times New Roman" w:hAnsi="Times New Roman"/>
          <w:sz w:val="28"/>
        </w:rPr>
        <w:t>L</w:t>
      </w:r>
      <w:r w:rsidRPr="00030313">
        <w:rPr>
          <w:rFonts w:ascii="Times New Roman" w:hAnsi="Times New Roman"/>
          <w:sz w:val="28"/>
        </w:rPr>
        <w:t>a jurisprudencia del</w:t>
      </w:r>
      <w:r w:rsidRPr="00030313">
        <w:rPr>
          <w:rFonts w:ascii="Times New Roman" w:hAnsi="Times New Roman"/>
          <w:sz w:val="28"/>
        </w:rPr>
        <w:t xml:space="preserve"> Consejo de Estado ha </w:t>
      </w:r>
      <w:r w:rsidRPr="00030313">
        <w:rPr>
          <w:rFonts w:ascii="Times New Roman" w:hAnsi="Times New Roman"/>
          <w:sz w:val="28"/>
        </w:rPr>
        <w:t xml:space="preserve">entendido que </w:t>
      </w:r>
      <w:r w:rsidRPr="00030313">
        <w:rPr>
          <w:rFonts w:ascii="Times New Roman" w:hAnsi="Times New Roman"/>
          <w:sz w:val="28"/>
        </w:rPr>
        <w:t>“</w:t>
      </w:r>
      <w:r w:rsidRPr="00030313">
        <w:rPr>
          <w:rFonts w:ascii="Times New Roman" w:hAnsi="Times New Roman"/>
          <w:i/>
          <w:iCs/>
          <w:sz w:val="28"/>
        </w:rPr>
        <w:t>no hay solemnidad que indique que lo</w:t>
      </w:r>
      <w:r w:rsidRPr="00030313">
        <w:rPr>
          <w:rFonts w:ascii="Times New Roman" w:hAnsi="Times New Roman"/>
          <w:i/>
          <w:iCs/>
          <w:sz w:val="28"/>
        </w:rPr>
        <w:t xml:space="preserve">s actos administrativos deban ser plasmados por escrito, pues en algunas ocasiones se profieren de manera verbal, provocando eso sí, efectos jurídicos sobre el administrado, </w:t>
      </w:r>
      <w:r w:rsidRPr="00030313">
        <w:rPr>
          <w:rFonts w:ascii="Times New Roman" w:hAnsi="Times New Roman"/>
          <w:i/>
          <w:iCs/>
          <w:sz w:val="28"/>
        </w:rPr>
        <w:t>ello implica entonces que se hace necesario romper el paradigma de los medios escr</w:t>
      </w:r>
      <w:r w:rsidRPr="00030313">
        <w:rPr>
          <w:rFonts w:ascii="Times New Roman" w:hAnsi="Times New Roman"/>
          <w:i/>
          <w:iCs/>
          <w:sz w:val="28"/>
        </w:rPr>
        <w:t>itos, pues si bien es ‘más fácil’ probar su existencia, un acto administrativo verbal produce los mismos efectos que uno escrito”</w:t>
      </w:r>
      <w:r w:rsidRPr="00030313">
        <w:rPr>
          <w:rStyle w:val="Refdenotaalpie"/>
          <w:rFonts w:ascii="Times New Roman" w:hAnsi="Times New Roman"/>
          <w:sz w:val="28"/>
        </w:rPr>
        <w:footnoteReference w:id="31"/>
      </w:r>
      <w:r w:rsidRPr="00030313">
        <w:rPr>
          <w:rFonts w:ascii="Times New Roman" w:hAnsi="Times New Roman"/>
          <w:i/>
          <w:iCs/>
          <w:sz w:val="28"/>
        </w:rPr>
        <w:t>.</w:t>
      </w:r>
      <w:r w:rsidRPr="00030313">
        <w:rPr>
          <w:rFonts w:ascii="Times New Roman" w:hAnsi="Times New Roman"/>
          <w:i/>
          <w:iCs/>
          <w:sz w:val="28"/>
        </w:rPr>
        <w:t xml:space="preserve"> </w:t>
      </w:r>
      <w:r w:rsidRPr="00030313">
        <w:rPr>
          <w:rFonts w:ascii="Times New Roman" w:hAnsi="Times New Roman"/>
          <w:sz w:val="28"/>
        </w:rPr>
        <w:t xml:space="preserve">En ese sentido, la manifestación de un funcionario competente que responda a una determinada solicitud presentada por un ciudadano, que conlleve a crear, extinguir o modificar una situación jurídica </w:t>
      </w:r>
      <w:r w:rsidRPr="00030313">
        <w:rPr>
          <w:rFonts w:ascii="Times New Roman" w:hAnsi="Times New Roman"/>
          <w:sz w:val="28"/>
        </w:rPr>
        <w:t>determinada, se constituye en un acto administrativo verb</w:t>
      </w:r>
      <w:r w:rsidRPr="00030313">
        <w:rPr>
          <w:rFonts w:ascii="Times New Roman" w:hAnsi="Times New Roman"/>
          <w:sz w:val="28"/>
        </w:rPr>
        <w:t xml:space="preserve">al que tiene los mismos efectos jurídicos de aquellos que </w:t>
      </w:r>
      <w:r w:rsidRPr="00030313">
        <w:rPr>
          <w:rFonts w:ascii="Times New Roman" w:hAnsi="Times New Roman"/>
          <w:sz w:val="28"/>
        </w:rPr>
        <w:t>nacieron a la vida jurídica</w:t>
      </w:r>
      <w:r w:rsidRPr="00030313">
        <w:rPr>
          <w:rFonts w:ascii="Times New Roman" w:hAnsi="Times New Roman"/>
          <w:sz w:val="28"/>
        </w:rPr>
        <w:t xml:space="preserve"> de forma escrita</w:t>
      </w:r>
      <w:r w:rsidRPr="00030313">
        <w:rPr>
          <w:rStyle w:val="Refdenotaalpie"/>
          <w:rFonts w:ascii="Times New Roman" w:hAnsi="Times New Roman"/>
          <w:sz w:val="28"/>
        </w:rPr>
        <w:footnoteReference w:id="32"/>
      </w:r>
      <w:r w:rsidRPr="00030313">
        <w:rPr>
          <w:rFonts w:ascii="Times New Roman" w:hAnsi="Times New Roman"/>
          <w:sz w:val="28"/>
        </w:rPr>
        <w:t>.</w:t>
      </w:r>
      <w:r w:rsidRPr="00030313">
        <w:rPr>
          <w:rFonts w:ascii="Times New Roman" w:hAnsi="Times New Roman"/>
          <w:sz w:val="28"/>
        </w:rPr>
        <w:t xml:space="preserve"> </w:t>
      </w:r>
      <w:r w:rsidRPr="00030313">
        <w:rPr>
          <w:rFonts w:ascii="Times New Roman" w:hAnsi="Times New Roman"/>
          <w:sz w:val="28"/>
        </w:rPr>
        <w:t xml:space="preserve">Bajo esta idea, </w:t>
      </w:r>
      <w:r w:rsidRPr="00030313">
        <w:rPr>
          <w:rFonts w:ascii="Times New Roman" w:hAnsi="Times New Roman"/>
          <w:sz w:val="28"/>
        </w:rPr>
        <w:t xml:space="preserve">la respuesta otorgada por parte de un funcionario de la administración pública a una petición ciudadana </w:t>
      </w:r>
      <w:r w:rsidRPr="00030313">
        <w:rPr>
          <w:rFonts w:ascii="Times New Roman" w:hAnsi="Times New Roman"/>
          <w:sz w:val="28"/>
        </w:rPr>
        <w:t>relativa a</w:t>
      </w:r>
      <w:r w:rsidRPr="00030313">
        <w:rPr>
          <w:rFonts w:ascii="Times New Roman" w:hAnsi="Times New Roman"/>
          <w:sz w:val="28"/>
        </w:rPr>
        <w:t xml:space="preserve"> que se le garantice</w:t>
      </w:r>
      <w:r w:rsidRPr="00030313">
        <w:rPr>
          <w:rFonts w:ascii="Times New Roman" w:hAnsi="Times New Roman"/>
          <w:sz w:val="28"/>
        </w:rPr>
        <w:t xml:space="preserve"> </w:t>
      </w:r>
      <w:r w:rsidRPr="00030313">
        <w:rPr>
          <w:rFonts w:ascii="Times New Roman" w:hAnsi="Times New Roman"/>
          <w:sz w:val="28"/>
        </w:rPr>
        <w:t xml:space="preserve">la expedición de su documento de identidad, se constituye como un acto administrativo que, en principio, sería susceptible de </w:t>
      </w:r>
      <w:r w:rsidRPr="00030313">
        <w:rPr>
          <w:rFonts w:ascii="Times New Roman" w:hAnsi="Times New Roman"/>
          <w:sz w:val="28"/>
        </w:rPr>
        <w:t xml:space="preserve">controvertirse por la vía gubernativa y por los medios judiciales ordinarios dispuestos para ello en la Ley 1437 de 2011. </w:t>
      </w:r>
    </w:p>
    <w:p w:rsidR="00F52081" w:rsidRPr="00030313" w:rsidRDefault="00030313" w:rsidP="00C61937">
      <w:pPr>
        <w:jc w:val="both"/>
        <w:rPr>
          <w:rFonts w:ascii="Times New Roman" w:hAnsi="Times New Roman"/>
          <w:sz w:val="28"/>
        </w:rPr>
      </w:pPr>
    </w:p>
    <w:p w:rsidR="00C36B4C" w:rsidRPr="00030313" w:rsidRDefault="00030313" w:rsidP="00C61937">
      <w:pPr>
        <w:numPr>
          <w:ilvl w:val="0"/>
          <w:numId w:val="6"/>
        </w:numPr>
        <w:ind w:left="0" w:firstLine="0"/>
        <w:jc w:val="both"/>
        <w:rPr>
          <w:rFonts w:ascii="Times New Roman" w:hAnsi="Times New Roman"/>
          <w:sz w:val="28"/>
        </w:rPr>
      </w:pPr>
      <w:r w:rsidRPr="00030313">
        <w:rPr>
          <w:rFonts w:ascii="Times New Roman" w:hAnsi="Times New Roman"/>
          <w:sz w:val="28"/>
          <w:lang w:val="es-ES_tradnl"/>
        </w:rPr>
        <w:t>Sin em</w:t>
      </w:r>
      <w:r w:rsidRPr="00030313">
        <w:rPr>
          <w:rFonts w:ascii="Times New Roman" w:hAnsi="Times New Roman"/>
          <w:sz w:val="28"/>
          <w:lang w:val="es-ES_tradnl"/>
        </w:rPr>
        <w:t xml:space="preserve">bargo, en el presente asunto la Sala Quinta de Revisión no observa que </w:t>
      </w:r>
      <w:r w:rsidRPr="00030313">
        <w:rPr>
          <w:rFonts w:ascii="Times New Roman" w:hAnsi="Times New Roman"/>
          <w:sz w:val="28"/>
          <w:lang w:val="es-ES_tradnl"/>
        </w:rPr>
        <w:t>se esté ante ninguna de las dos circunstancias previamente señaladas</w:t>
      </w:r>
      <w:r w:rsidRPr="00030313">
        <w:rPr>
          <w:rFonts w:ascii="Times New Roman" w:hAnsi="Times New Roman"/>
          <w:sz w:val="28"/>
          <w:lang w:val="es-ES_tradnl"/>
        </w:rPr>
        <w:t xml:space="preserve"> en </w:t>
      </w:r>
      <w:r w:rsidRPr="00030313">
        <w:rPr>
          <w:rFonts w:ascii="Times New Roman" w:hAnsi="Times New Roman"/>
          <w:sz w:val="28"/>
          <w:lang w:val="es-ES_tradnl"/>
        </w:rPr>
        <w:t>los</w:t>
      </w:r>
      <w:r w:rsidRPr="00030313">
        <w:rPr>
          <w:rFonts w:ascii="Times New Roman" w:hAnsi="Times New Roman"/>
          <w:sz w:val="28"/>
          <w:lang w:val="es-ES_tradnl"/>
        </w:rPr>
        <w:t xml:space="preserve"> fundamento</w:t>
      </w:r>
      <w:r w:rsidRPr="00030313">
        <w:rPr>
          <w:rFonts w:ascii="Times New Roman" w:hAnsi="Times New Roman"/>
          <w:sz w:val="28"/>
          <w:lang w:val="es-ES_tradnl"/>
        </w:rPr>
        <w:t>s</w:t>
      </w:r>
      <w:r w:rsidRPr="00030313">
        <w:rPr>
          <w:rFonts w:ascii="Times New Roman" w:hAnsi="Times New Roman"/>
          <w:sz w:val="28"/>
          <w:lang w:val="es-ES_tradnl"/>
        </w:rPr>
        <w:t xml:space="preserve"> jurídico</w:t>
      </w:r>
      <w:r w:rsidRPr="00030313">
        <w:rPr>
          <w:rFonts w:ascii="Times New Roman" w:hAnsi="Times New Roman"/>
          <w:sz w:val="28"/>
          <w:lang w:val="es-ES_tradnl"/>
        </w:rPr>
        <w:t>s 24 y</w:t>
      </w:r>
      <w:r w:rsidRPr="00030313">
        <w:rPr>
          <w:rFonts w:ascii="Times New Roman" w:hAnsi="Times New Roman"/>
          <w:sz w:val="28"/>
          <w:lang w:val="es-ES_tradnl"/>
        </w:rPr>
        <w:t xml:space="preserve"> </w:t>
      </w:r>
      <w:r w:rsidRPr="00030313">
        <w:rPr>
          <w:rFonts w:ascii="Times New Roman" w:hAnsi="Times New Roman"/>
          <w:sz w:val="28"/>
          <w:lang w:val="es-ES_tradnl"/>
        </w:rPr>
        <w:t>25</w:t>
      </w:r>
      <w:r w:rsidRPr="00030313">
        <w:rPr>
          <w:rFonts w:ascii="Times New Roman" w:hAnsi="Times New Roman"/>
          <w:sz w:val="28"/>
          <w:lang w:val="es-ES_tradnl"/>
        </w:rPr>
        <w:t xml:space="preserve">. </w:t>
      </w:r>
      <w:r w:rsidRPr="00030313">
        <w:rPr>
          <w:rFonts w:ascii="Times New Roman" w:hAnsi="Times New Roman"/>
          <w:sz w:val="28"/>
          <w:lang w:val="es-ES_tradnl"/>
        </w:rPr>
        <w:t>Es decir, el supuesto de hecho objeto de revisión no versa sobre la imposibili</w:t>
      </w:r>
      <w:r w:rsidRPr="00030313">
        <w:rPr>
          <w:rFonts w:ascii="Times New Roman" w:hAnsi="Times New Roman"/>
          <w:sz w:val="28"/>
          <w:lang w:val="es-ES_tradnl"/>
        </w:rPr>
        <w:t>dad de</w:t>
      </w:r>
      <w:r w:rsidRPr="00030313">
        <w:rPr>
          <w:rFonts w:ascii="Times New Roman" w:hAnsi="Times New Roman"/>
          <w:sz w:val="28"/>
          <w:lang w:val="es-ES_tradnl"/>
        </w:rPr>
        <w:t xml:space="preserve"> la persona accionante</w:t>
      </w:r>
      <w:r w:rsidRPr="00030313">
        <w:rPr>
          <w:rFonts w:ascii="Times New Roman" w:hAnsi="Times New Roman"/>
          <w:sz w:val="28"/>
          <w:lang w:val="es-ES_tradnl"/>
        </w:rPr>
        <w:t xml:space="preserve"> de modificar</w:t>
      </w:r>
      <w:r w:rsidRPr="00030313">
        <w:rPr>
          <w:rFonts w:ascii="Times New Roman" w:hAnsi="Times New Roman"/>
          <w:sz w:val="28"/>
          <w:lang w:val="es-ES_tradnl"/>
        </w:rPr>
        <w:t xml:space="preserve">, corregir o sustituir </w:t>
      </w:r>
      <w:r w:rsidRPr="00030313">
        <w:rPr>
          <w:rFonts w:ascii="Times New Roman" w:hAnsi="Times New Roman"/>
          <w:sz w:val="28"/>
          <w:lang w:val="es-ES_tradnl"/>
        </w:rPr>
        <w:t>los datos de su nombre o sexo de su registro civil</w:t>
      </w:r>
      <w:r w:rsidRPr="00030313">
        <w:rPr>
          <w:rFonts w:ascii="Times New Roman" w:hAnsi="Times New Roman"/>
          <w:sz w:val="28"/>
          <w:lang w:val="es-ES_tradnl"/>
        </w:rPr>
        <w:t>, pues éste ya logró tal objetivo e</w:t>
      </w:r>
      <w:r w:rsidRPr="00030313">
        <w:rPr>
          <w:rFonts w:ascii="Times New Roman" w:hAnsi="Times New Roman"/>
          <w:sz w:val="28"/>
          <w:lang w:val="es-ES_tradnl"/>
        </w:rPr>
        <w:t>n enero de 2023 al haber cambiado su marcador de sexo en el registro civil a “No Binario”</w:t>
      </w:r>
      <w:r w:rsidRPr="00030313">
        <w:rPr>
          <w:rFonts w:ascii="Times New Roman" w:hAnsi="Times New Roman"/>
          <w:sz w:val="28"/>
        </w:rPr>
        <w:t xml:space="preserve">. </w:t>
      </w:r>
      <w:r w:rsidRPr="00030313">
        <w:rPr>
          <w:rFonts w:ascii="Times New Roman" w:hAnsi="Times New Roman"/>
          <w:sz w:val="28"/>
        </w:rPr>
        <w:t xml:space="preserve">Adicionalmente, también cuenta con su cédula de ciudadanía amarilla de hologramas vigente y con </w:t>
      </w:r>
      <w:r w:rsidRPr="00030313">
        <w:rPr>
          <w:rFonts w:ascii="Times New Roman" w:hAnsi="Times New Roman"/>
          <w:sz w:val="28"/>
        </w:rPr>
        <w:t>su marcador de sexo “No Binario” en</w:t>
      </w:r>
      <w:r w:rsidRPr="00030313">
        <w:rPr>
          <w:rFonts w:ascii="Times New Roman" w:hAnsi="Times New Roman"/>
          <w:sz w:val="28"/>
        </w:rPr>
        <w:t xml:space="preserve"> </w:t>
      </w:r>
      <w:r w:rsidRPr="00030313">
        <w:rPr>
          <w:rFonts w:ascii="Times New Roman" w:hAnsi="Times New Roman"/>
          <w:sz w:val="28"/>
        </w:rPr>
        <w:t>la</w:t>
      </w:r>
      <w:r w:rsidRPr="00030313">
        <w:rPr>
          <w:rFonts w:ascii="Times New Roman" w:hAnsi="Times New Roman"/>
          <w:sz w:val="28"/>
        </w:rPr>
        <w:t xml:space="preserve"> </w:t>
      </w:r>
      <w:r w:rsidRPr="00030313">
        <w:rPr>
          <w:rFonts w:ascii="Times New Roman" w:hAnsi="Times New Roman"/>
          <w:sz w:val="28"/>
        </w:rPr>
        <w:t xml:space="preserve">identificación. </w:t>
      </w:r>
      <w:r w:rsidRPr="00030313">
        <w:rPr>
          <w:rFonts w:ascii="Times New Roman" w:hAnsi="Times New Roman"/>
          <w:sz w:val="28"/>
        </w:rPr>
        <w:t xml:space="preserve">Es decir, </w:t>
      </w:r>
      <w:r w:rsidRPr="00030313">
        <w:rPr>
          <w:rFonts w:ascii="Times New Roman" w:hAnsi="Times New Roman"/>
          <w:i/>
          <w:iCs/>
          <w:sz w:val="28"/>
        </w:rPr>
        <w:t>Sergio</w:t>
      </w:r>
      <w:r w:rsidRPr="00030313">
        <w:rPr>
          <w:rFonts w:ascii="Times New Roman" w:hAnsi="Times New Roman"/>
          <w:sz w:val="28"/>
        </w:rPr>
        <w:t xml:space="preserve"> no necesita modificar o corregir ningún dato de los re</w:t>
      </w:r>
      <w:r w:rsidRPr="00030313">
        <w:rPr>
          <w:rFonts w:ascii="Times New Roman" w:hAnsi="Times New Roman"/>
          <w:sz w:val="28"/>
        </w:rPr>
        <w:t>feridos documentos</w:t>
      </w:r>
      <w:r w:rsidRPr="00030313">
        <w:rPr>
          <w:rFonts w:ascii="Times New Roman" w:hAnsi="Times New Roman"/>
          <w:sz w:val="28"/>
        </w:rPr>
        <w:t>, así como tampo</w:t>
      </w:r>
      <w:r w:rsidRPr="00030313">
        <w:rPr>
          <w:rFonts w:ascii="Times New Roman" w:hAnsi="Times New Roman"/>
          <w:sz w:val="28"/>
        </w:rPr>
        <w:t>co pretende restablecer la vigencia de los mismos por un eventual acto administrativo mediante el cual se le hubiera anulado su registro civil</w:t>
      </w:r>
      <w:r w:rsidRPr="00030313">
        <w:rPr>
          <w:rFonts w:ascii="Times New Roman" w:hAnsi="Times New Roman"/>
          <w:sz w:val="28"/>
        </w:rPr>
        <w:t xml:space="preserve"> o</w:t>
      </w:r>
      <w:r w:rsidRPr="00030313">
        <w:rPr>
          <w:rFonts w:ascii="Times New Roman" w:hAnsi="Times New Roman"/>
          <w:sz w:val="28"/>
        </w:rPr>
        <w:t xml:space="preserve"> su cédula de ciudadanía. </w:t>
      </w:r>
      <w:r w:rsidRPr="00030313">
        <w:rPr>
          <w:rFonts w:ascii="Times New Roman" w:hAnsi="Times New Roman"/>
          <w:sz w:val="28"/>
        </w:rPr>
        <w:t>La persona accionante</w:t>
      </w:r>
      <w:r w:rsidRPr="00030313">
        <w:rPr>
          <w:rFonts w:ascii="Times New Roman" w:hAnsi="Times New Roman"/>
          <w:sz w:val="28"/>
        </w:rPr>
        <w:t xml:space="preserve"> simplemente pretende que se le </w:t>
      </w:r>
      <w:r w:rsidRPr="00030313">
        <w:rPr>
          <w:rFonts w:ascii="Times New Roman" w:hAnsi="Times New Roman"/>
          <w:sz w:val="28"/>
        </w:rPr>
        <w:t xml:space="preserve">entregue la cédula de ciudadanía </w:t>
      </w:r>
      <w:r w:rsidRPr="00030313">
        <w:rPr>
          <w:rFonts w:ascii="Times New Roman" w:hAnsi="Times New Roman"/>
          <w:sz w:val="28"/>
        </w:rPr>
        <w:t xml:space="preserve">digital con el marcador de sexo “No Binario”, tal como ya está previsto en su registro civil de nacimiento y en su cédula de ciudadanía amarilla de hologramas. </w:t>
      </w:r>
      <w:r w:rsidRPr="00030313">
        <w:rPr>
          <w:rFonts w:ascii="Times New Roman" w:hAnsi="Times New Roman"/>
          <w:sz w:val="28"/>
        </w:rPr>
        <w:t xml:space="preserve">Por lo expuesto, el medio judicial </w:t>
      </w:r>
      <w:r w:rsidRPr="00030313">
        <w:rPr>
          <w:rFonts w:ascii="Times New Roman" w:hAnsi="Times New Roman"/>
          <w:sz w:val="28"/>
        </w:rPr>
        <w:t xml:space="preserve">de jurisdicción voluntaria </w:t>
      </w:r>
      <w:r w:rsidRPr="00030313">
        <w:rPr>
          <w:rFonts w:ascii="Times New Roman" w:hAnsi="Times New Roman"/>
          <w:sz w:val="28"/>
        </w:rPr>
        <w:t xml:space="preserve">dispuesto por la Ley 1564 de 2012 </w:t>
      </w:r>
      <w:r w:rsidRPr="00030313">
        <w:rPr>
          <w:rFonts w:ascii="Times New Roman" w:hAnsi="Times New Roman"/>
          <w:sz w:val="28"/>
        </w:rPr>
        <w:t xml:space="preserve">antes mencionado, </w:t>
      </w:r>
      <w:r w:rsidRPr="00030313">
        <w:rPr>
          <w:rFonts w:ascii="Times New Roman" w:hAnsi="Times New Roman"/>
          <w:sz w:val="28"/>
        </w:rPr>
        <w:t>sería procedente en el</w:t>
      </w:r>
      <w:r w:rsidRPr="00030313">
        <w:rPr>
          <w:rFonts w:ascii="Times New Roman" w:hAnsi="Times New Roman"/>
          <w:sz w:val="28"/>
        </w:rPr>
        <w:t xml:space="preserve"> caso concreto. </w:t>
      </w:r>
    </w:p>
    <w:p w:rsidR="00403643" w:rsidRPr="00030313" w:rsidRDefault="00030313" w:rsidP="00C61937">
      <w:pPr>
        <w:jc w:val="both"/>
        <w:rPr>
          <w:rFonts w:ascii="Times New Roman" w:hAnsi="Times New Roman"/>
          <w:sz w:val="28"/>
        </w:rPr>
      </w:pPr>
    </w:p>
    <w:p w:rsidR="00F23B1E" w:rsidRPr="00030313" w:rsidRDefault="00030313" w:rsidP="00C61937">
      <w:pPr>
        <w:numPr>
          <w:ilvl w:val="0"/>
          <w:numId w:val="6"/>
        </w:numPr>
        <w:ind w:left="0" w:firstLine="0"/>
        <w:jc w:val="both"/>
        <w:rPr>
          <w:rFonts w:ascii="Times New Roman" w:hAnsi="Times New Roman"/>
          <w:sz w:val="28"/>
        </w:rPr>
      </w:pPr>
      <w:r w:rsidRPr="00030313">
        <w:rPr>
          <w:rFonts w:ascii="Times New Roman" w:hAnsi="Times New Roman"/>
          <w:sz w:val="28"/>
        </w:rPr>
        <w:t xml:space="preserve">Adicionalmente, </w:t>
      </w:r>
      <w:r w:rsidRPr="00030313">
        <w:rPr>
          <w:rFonts w:ascii="Times New Roman" w:hAnsi="Times New Roman"/>
          <w:sz w:val="28"/>
        </w:rPr>
        <w:t xml:space="preserve">respecto de la posibilidad de controvertir </w:t>
      </w:r>
      <w:r w:rsidRPr="00030313">
        <w:rPr>
          <w:rFonts w:ascii="Times New Roman" w:hAnsi="Times New Roman"/>
          <w:sz w:val="28"/>
        </w:rPr>
        <w:t xml:space="preserve">la respuesta ofrecida por el funcionario de la Registraduría Auxiliar </w:t>
      </w:r>
      <w:r w:rsidRPr="00030313">
        <w:rPr>
          <w:rFonts w:ascii="Times New Roman" w:hAnsi="Times New Roman"/>
          <w:sz w:val="28"/>
        </w:rPr>
        <w:t xml:space="preserve">de Villa Country </w:t>
      </w:r>
      <w:r w:rsidRPr="00030313">
        <w:rPr>
          <w:rFonts w:ascii="Times New Roman" w:hAnsi="Times New Roman"/>
          <w:sz w:val="28"/>
        </w:rPr>
        <w:t>a través</w:t>
      </w:r>
      <w:r w:rsidRPr="00030313">
        <w:rPr>
          <w:rFonts w:ascii="Times New Roman" w:hAnsi="Times New Roman"/>
          <w:sz w:val="28"/>
        </w:rPr>
        <w:t xml:space="preserve"> de </w:t>
      </w:r>
      <w:r w:rsidRPr="00030313">
        <w:rPr>
          <w:rFonts w:ascii="Times New Roman" w:hAnsi="Times New Roman"/>
          <w:sz w:val="28"/>
        </w:rPr>
        <w:t>los</w:t>
      </w:r>
      <w:r w:rsidRPr="00030313">
        <w:rPr>
          <w:rFonts w:ascii="Times New Roman" w:hAnsi="Times New Roman"/>
          <w:sz w:val="28"/>
        </w:rPr>
        <w:t xml:space="preserve"> medios judiciales dispuestos para ello en el artículo </w:t>
      </w:r>
      <w:r w:rsidRPr="00030313">
        <w:rPr>
          <w:rFonts w:ascii="Times New Roman" w:hAnsi="Times New Roman"/>
          <w:sz w:val="28"/>
        </w:rPr>
        <w:t>138 de la Ley 1427 de 2011</w:t>
      </w:r>
      <w:r w:rsidRPr="00030313">
        <w:rPr>
          <w:rFonts w:ascii="Times New Roman" w:hAnsi="Times New Roman"/>
          <w:sz w:val="28"/>
        </w:rPr>
        <w:t xml:space="preserve">, la Sala Quinta de Revisión considera que </w:t>
      </w:r>
      <w:r w:rsidRPr="00030313">
        <w:rPr>
          <w:rFonts w:ascii="Times New Roman" w:hAnsi="Times New Roman"/>
          <w:sz w:val="28"/>
        </w:rPr>
        <w:t>los medios judiciales</w:t>
      </w:r>
      <w:r w:rsidRPr="00030313">
        <w:rPr>
          <w:rFonts w:ascii="Times New Roman" w:hAnsi="Times New Roman"/>
          <w:sz w:val="28"/>
        </w:rPr>
        <w:t xml:space="preserve"> </w:t>
      </w:r>
      <w:r w:rsidRPr="00030313">
        <w:rPr>
          <w:rFonts w:ascii="Times New Roman" w:hAnsi="Times New Roman"/>
          <w:sz w:val="28"/>
        </w:rPr>
        <w:t>no son</w:t>
      </w:r>
      <w:r w:rsidRPr="00030313">
        <w:rPr>
          <w:rFonts w:ascii="Times New Roman" w:hAnsi="Times New Roman"/>
          <w:sz w:val="28"/>
        </w:rPr>
        <w:t xml:space="preserve"> idóneos ni</w:t>
      </w:r>
      <w:r w:rsidRPr="00030313">
        <w:rPr>
          <w:rFonts w:ascii="Times New Roman" w:hAnsi="Times New Roman"/>
          <w:sz w:val="28"/>
        </w:rPr>
        <w:t xml:space="preserve"> efectivos</w:t>
      </w:r>
      <w:r w:rsidRPr="00030313">
        <w:rPr>
          <w:rFonts w:ascii="Times New Roman" w:hAnsi="Times New Roman"/>
          <w:sz w:val="28"/>
        </w:rPr>
        <w:t xml:space="preserve"> para satisfacer las pretensiones de</w:t>
      </w:r>
      <w:r w:rsidRPr="00030313">
        <w:rPr>
          <w:rFonts w:ascii="Times New Roman" w:hAnsi="Times New Roman"/>
          <w:sz w:val="28"/>
        </w:rPr>
        <w:t xml:space="preserve"> </w:t>
      </w:r>
      <w:r w:rsidRPr="00030313">
        <w:rPr>
          <w:rFonts w:ascii="Times New Roman" w:hAnsi="Times New Roman"/>
          <w:i/>
          <w:iCs/>
          <w:sz w:val="28"/>
        </w:rPr>
        <w:t>Sergio</w:t>
      </w:r>
      <w:r w:rsidRPr="00030313">
        <w:rPr>
          <w:rFonts w:ascii="Times New Roman" w:hAnsi="Times New Roman"/>
          <w:sz w:val="28"/>
        </w:rPr>
        <w:t xml:space="preserve">. </w:t>
      </w:r>
    </w:p>
    <w:p w:rsidR="00F23B1E" w:rsidRPr="00030313" w:rsidRDefault="00030313" w:rsidP="00C61937">
      <w:pPr>
        <w:pStyle w:val="Prrafodelista"/>
        <w:rPr>
          <w:rFonts w:ascii="Times New Roman" w:hAnsi="Times New Roman"/>
          <w:sz w:val="28"/>
        </w:rPr>
      </w:pPr>
    </w:p>
    <w:p w:rsidR="00BE63B3" w:rsidRPr="00030313" w:rsidRDefault="00030313" w:rsidP="00C61937">
      <w:pPr>
        <w:numPr>
          <w:ilvl w:val="0"/>
          <w:numId w:val="6"/>
        </w:numPr>
        <w:ind w:left="0" w:firstLine="0"/>
        <w:jc w:val="both"/>
        <w:rPr>
          <w:rFonts w:ascii="Times New Roman" w:hAnsi="Times New Roman"/>
          <w:sz w:val="28"/>
        </w:rPr>
      </w:pPr>
      <w:r w:rsidRPr="00030313">
        <w:rPr>
          <w:rFonts w:ascii="Times New Roman" w:hAnsi="Times New Roman"/>
          <w:sz w:val="28"/>
        </w:rPr>
        <w:t>Q</w:t>
      </w:r>
      <w:r w:rsidRPr="00030313">
        <w:rPr>
          <w:rFonts w:ascii="Times New Roman" w:hAnsi="Times New Roman"/>
          <w:sz w:val="28"/>
        </w:rPr>
        <w:t xml:space="preserve">ueda claro que </w:t>
      </w:r>
      <w:r w:rsidRPr="00030313">
        <w:rPr>
          <w:rFonts w:ascii="Times New Roman" w:hAnsi="Times New Roman"/>
          <w:sz w:val="28"/>
        </w:rPr>
        <w:t xml:space="preserve">el proceso judicial </w:t>
      </w:r>
      <w:r w:rsidRPr="00030313">
        <w:rPr>
          <w:rFonts w:ascii="Times New Roman" w:hAnsi="Times New Roman"/>
          <w:sz w:val="28"/>
        </w:rPr>
        <w:t xml:space="preserve">dirigido a </w:t>
      </w:r>
      <w:r w:rsidRPr="00030313">
        <w:rPr>
          <w:rFonts w:ascii="Times New Roman" w:hAnsi="Times New Roman"/>
          <w:sz w:val="28"/>
        </w:rPr>
        <w:t>controvertir</w:t>
      </w:r>
      <w:r w:rsidRPr="00030313">
        <w:rPr>
          <w:rFonts w:ascii="Times New Roman" w:hAnsi="Times New Roman"/>
          <w:sz w:val="28"/>
        </w:rPr>
        <w:t xml:space="preserve"> la legalidad del acto administrativo verbal </w:t>
      </w:r>
      <w:r w:rsidRPr="00030313">
        <w:rPr>
          <w:rFonts w:ascii="Times New Roman" w:hAnsi="Times New Roman"/>
          <w:sz w:val="28"/>
        </w:rPr>
        <w:t>mediante el cual el funcionario de la entidad accionada le negó a</w:t>
      </w:r>
      <w:r w:rsidRPr="00030313">
        <w:rPr>
          <w:rFonts w:ascii="Times New Roman" w:hAnsi="Times New Roman"/>
          <w:sz w:val="28"/>
        </w:rPr>
        <w:t xml:space="preserve"> la persona</w:t>
      </w:r>
      <w:r w:rsidRPr="00030313">
        <w:rPr>
          <w:rFonts w:ascii="Times New Roman" w:hAnsi="Times New Roman"/>
          <w:sz w:val="28"/>
        </w:rPr>
        <w:t xml:space="preserve"> la expedición de su cédula de ciudadanía digital con el marcador de sexo “No Binario”</w:t>
      </w:r>
      <w:r w:rsidRPr="00030313">
        <w:rPr>
          <w:rFonts w:ascii="Times New Roman" w:hAnsi="Times New Roman"/>
          <w:sz w:val="28"/>
        </w:rPr>
        <w:t xml:space="preserve">, </w:t>
      </w:r>
      <w:r w:rsidRPr="00030313">
        <w:rPr>
          <w:rFonts w:ascii="Times New Roman" w:hAnsi="Times New Roman"/>
          <w:sz w:val="28"/>
        </w:rPr>
        <w:t>adelanta esencialmente u</w:t>
      </w:r>
      <w:r w:rsidRPr="00030313">
        <w:rPr>
          <w:rFonts w:ascii="Times New Roman" w:hAnsi="Times New Roman"/>
          <w:sz w:val="28"/>
        </w:rPr>
        <w:t>n asunto de naturaleza legal</w:t>
      </w:r>
      <w:r w:rsidRPr="00030313">
        <w:rPr>
          <w:rFonts w:ascii="Times New Roman" w:hAnsi="Times New Roman"/>
          <w:sz w:val="28"/>
        </w:rPr>
        <w:t xml:space="preserve"> y podría tardar un tiempo mayor al trámite de tutela. Sobre todo cuando en el trámite ante la Jurisdicción de lo Contencioso Administrativo</w:t>
      </w:r>
      <w:r w:rsidRPr="00030313">
        <w:rPr>
          <w:rFonts w:ascii="Times New Roman" w:hAnsi="Times New Roman"/>
          <w:sz w:val="28"/>
        </w:rPr>
        <w:t xml:space="preserve"> eventualmente podría quedar de lado </w:t>
      </w:r>
      <w:r w:rsidRPr="00030313">
        <w:rPr>
          <w:rFonts w:ascii="Times New Roman" w:hAnsi="Times New Roman"/>
          <w:sz w:val="28"/>
        </w:rPr>
        <w:t xml:space="preserve">el núcleo de </w:t>
      </w:r>
      <w:r w:rsidRPr="00030313">
        <w:rPr>
          <w:rFonts w:ascii="Times New Roman" w:hAnsi="Times New Roman"/>
          <w:sz w:val="28"/>
        </w:rPr>
        <w:t xml:space="preserve">la discusión </w:t>
      </w:r>
      <w:r w:rsidRPr="00030313">
        <w:rPr>
          <w:rFonts w:ascii="Times New Roman" w:hAnsi="Times New Roman"/>
          <w:sz w:val="28"/>
        </w:rPr>
        <w:t xml:space="preserve">de naturaleza </w:t>
      </w:r>
      <w:r w:rsidRPr="00030313">
        <w:rPr>
          <w:rFonts w:ascii="Times New Roman" w:hAnsi="Times New Roman"/>
          <w:sz w:val="28"/>
        </w:rPr>
        <w:t>constitucional que se suscita</w:t>
      </w:r>
      <w:r w:rsidRPr="00030313">
        <w:rPr>
          <w:rFonts w:ascii="Times New Roman" w:hAnsi="Times New Roman"/>
          <w:sz w:val="28"/>
        </w:rPr>
        <w:t xml:space="preserve"> en esta oportunidad</w:t>
      </w:r>
      <w:r w:rsidRPr="00030313">
        <w:rPr>
          <w:rFonts w:ascii="Times New Roman" w:hAnsi="Times New Roman"/>
          <w:sz w:val="28"/>
        </w:rPr>
        <w:t xml:space="preserve"> relativa a la garantía de la igualdad</w:t>
      </w:r>
      <w:r w:rsidRPr="00030313">
        <w:rPr>
          <w:rFonts w:ascii="Times New Roman" w:hAnsi="Times New Roman"/>
          <w:sz w:val="28"/>
        </w:rPr>
        <w:t xml:space="preserve"> y al libre desarrollo de la personalidad</w:t>
      </w:r>
      <w:r w:rsidRPr="00030313">
        <w:rPr>
          <w:rFonts w:ascii="Times New Roman" w:hAnsi="Times New Roman"/>
          <w:sz w:val="28"/>
        </w:rPr>
        <w:t>, por un presunto trato discriminatorio al no otorgar la cédula digital debido a que no cuentan aún con el marcador NB</w:t>
      </w:r>
      <w:r w:rsidRPr="00030313">
        <w:rPr>
          <w:rFonts w:ascii="Times New Roman" w:hAnsi="Times New Roman"/>
          <w:sz w:val="28"/>
        </w:rPr>
        <w:t xml:space="preserve">. </w:t>
      </w:r>
    </w:p>
    <w:p w:rsidR="00BE63B3" w:rsidRPr="00030313" w:rsidRDefault="00030313" w:rsidP="00C61937">
      <w:pPr>
        <w:jc w:val="both"/>
        <w:rPr>
          <w:rFonts w:ascii="Times New Roman" w:hAnsi="Times New Roman"/>
          <w:sz w:val="28"/>
        </w:rPr>
      </w:pPr>
    </w:p>
    <w:p w:rsidR="00981C19" w:rsidRPr="00030313" w:rsidRDefault="00030313" w:rsidP="00C61937">
      <w:pPr>
        <w:numPr>
          <w:ilvl w:val="0"/>
          <w:numId w:val="6"/>
        </w:numPr>
        <w:ind w:left="0" w:firstLine="0"/>
        <w:jc w:val="both"/>
        <w:rPr>
          <w:rFonts w:ascii="Times New Roman" w:hAnsi="Times New Roman"/>
          <w:sz w:val="28"/>
        </w:rPr>
      </w:pPr>
      <w:r w:rsidRPr="00030313">
        <w:rPr>
          <w:rFonts w:ascii="Times New Roman" w:hAnsi="Times New Roman"/>
          <w:sz w:val="28"/>
        </w:rPr>
        <w:t>Para l</w:t>
      </w:r>
      <w:r w:rsidRPr="00030313">
        <w:rPr>
          <w:rFonts w:ascii="Times New Roman" w:hAnsi="Times New Roman"/>
          <w:sz w:val="28"/>
        </w:rPr>
        <w:t>a Sala</w:t>
      </w:r>
      <w:r w:rsidRPr="00030313">
        <w:rPr>
          <w:rFonts w:ascii="Times New Roman" w:hAnsi="Times New Roman"/>
          <w:sz w:val="28"/>
        </w:rPr>
        <w:t xml:space="preserve"> es importante recordar </w:t>
      </w:r>
      <w:r w:rsidRPr="00030313">
        <w:rPr>
          <w:rFonts w:ascii="Times New Roman" w:hAnsi="Times New Roman"/>
          <w:sz w:val="28"/>
        </w:rPr>
        <w:t>el análisis que con menor rigidez exige la procedencia de la acción de tutela cuando</w:t>
      </w:r>
      <w:r w:rsidRPr="00030313">
        <w:rPr>
          <w:rFonts w:ascii="Times New Roman" w:hAnsi="Times New Roman"/>
          <w:sz w:val="28"/>
        </w:rPr>
        <w:t xml:space="preserve"> </w:t>
      </w:r>
      <w:r w:rsidRPr="00030313">
        <w:rPr>
          <w:rFonts w:ascii="Times New Roman" w:hAnsi="Times New Roman"/>
          <w:sz w:val="28"/>
        </w:rPr>
        <w:t xml:space="preserve">la persona accionante hace parte de un sector de la población </w:t>
      </w:r>
      <w:r w:rsidRPr="00030313">
        <w:rPr>
          <w:rFonts w:ascii="Times New Roman" w:hAnsi="Times New Roman"/>
          <w:sz w:val="28"/>
        </w:rPr>
        <w:t>históricamente discriminado por tener una identidad de género diversa</w:t>
      </w:r>
      <w:r w:rsidRPr="00030313">
        <w:rPr>
          <w:rFonts w:ascii="Times New Roman" w:hAnsi="Times New Roman"/>
          <w:sz w:val="28"/>
        </w:rPr>
        <w:t>, tal como</w:t>
      </w:r>
      <w:r w:rsidRPr="00030313">
        <w:rPr>
          <w:rFonts w:ascii="Times New Roman" w:hAnsi="Times New Roman"/>
          <w:sz w:val="28"/>
        </w:rPr>
        <w:t xml:space="preserve"> ocurre en esta oportunidad</w:t>
      </w:r>
      <w:r w:rsidRPr="00030313">
        <w:rPr>
          <w:rStyle w:val="Refdenotaalpie"/>
          <w:rFonts w:ascii="Times New Roman" w:hAnsi="Times New Roman"/>
          <w:sz w:val="28"/>
        </w:rPr>
        <w:footnoteReference w:id="33"/>
      </w:r>
      <w:r w:rsidRPr="00030313">
        <w:rPr>
          <w:rFonts w:ascii="Times New Roman" w:hAnsi="Times New Roman"/>
          <w:sz w:val="28"/>
        </w:rPr>
        <w:t>.</w:t>
      </w:r>
    </w:p>
    <w:p w:rsidR="008E00FE" w:rsidRPr="00030313" w:rsidRDefault="00030313" w:rsidP="00C61937">
      <w:pPr>
        <w:jc w:val="both"/>
        <w:rPr>
          <w:rFonts w:ascii="Times New Roman" w:hAnsi="Times New Roman"/>
          <w:sz w:val="28"/>
        </w:rPr>
      </w:pPr>
    </w:p>
    <w:p w:rsidR="009E0419" w:rsidRPr="00030313" w:rsidRDefault="00030313" w:rsidP="00C61937">
      <w:pPr>
        <w:numPr>
          <w:ilvl w:val="0"/>
          <w:numId w:val="6"/>
        </w:numPr>
        <w:ind w:left="0" w:firstLine="0"/>
        <w:jc w:val="both"/>
        <w:rPr>
          <w:rFonts w:ascii="Times New Roman" w:hAnsi="Times New Roman"/>
          <w:sz w:val="28"/>
        </w:rPr>
      </w:pPr>
      <w:r w:rsidRPr="00030313">
        <w:rPr>
          <w:rFonts w:ascii="Times New Roman" w:hAnsi="Times New Roman"/>
          <w:sz w:val="28"/>
        </w:rPr>
        <w:t>Con fundamento en</w:t>
      </w:r>
      <w:r w:rsidRPr="00030313">
        <w:rPr>
          <w:rFonts w:ascii="Times New Roman" w:hAnsi="Times New Roman"/>
          <w:sz w:val="28"/>
        </w:rPr>
        <w:t xml:space="preserve"> lo expuesto</w:t>
      </w:r>
      <w:r w:rsidRPr="00030313">
        <w:rPr>
          <w:rFonts w:ascii="Times New Roman" w:hAnsi="Times New Roman"/>
          <w:sz w:val="28"/>
        </w:rPr>
        <w:t xml:space="preserve"> hasta el momento</w:t>
      </w:r>
      <w:r w:rsidRPr="00030313">
        <w:rPr>
          <w:rFonts w:ascii="Times New Roman" w:hAnsi="Times New Roman"/>
          <w:sz w:val="28"/>
        </w:rPr>
        <w:t>, la Sala Quinta de Revisión encuentra que</w:t>
      </w:r>
      <w:r w:rsidRPr="00030313">
        <w:rPr>
          <w:rFonts w:ascii="Times New Roman" w:hAnsi="Times New Roman"/>
          <w:sz w:val="28"/>
        </w:rPr>
        <w:t xml:space="preserve"> el medio judicial ante la Jurisdicción de lo Contencioso Administrativo </w:t>
      </w:r>
      <w:r w:rsidRPr="00030313">
        <w:rPr>
          <w:rFonts w:ascii="Times New Roman" w:hAnsi="Times New Roman"/>
          <w:sz w:val="28"/>
        </w:rPr>
        <w:t>no es idóneo ni efectivo.</w:t>
      </w:r>
      <w:r w:rsidRPr="00030313">
        <w:rPr>
          <w:rFonts w:ascii="Times New Roman" w:hAnsi="Times New Roman"/>
          <w:sz w:val="28"/>
        </w:rPr>
        <w:t xml:space="preserve"> </w:t>
      </w:r>
      <w:r w:rsidRPr="00030313">
        <w:rPr>
          <w:rFonts w:ascii="Times New Roman" w:hAnsi="Times New Roman"/>
          <w:sz w:val="28"/>
        </w:rPr>
        <w:t xml:space="preserve">En consecuencia, </w:t>
      </w:r>
      <w:r w:rsidRPr="00030313">
        <w:rPr>
          <w:rFonts w:ascii="Times New Roman" w:hAnsi="Times New Roman"/>
          <w:sz w:val="28"/>
        </w:rPr>
        <w:t>no existen medios jud</w:t>
      </w:r>
      <w:r w:rsidRPr="00030313">
        <w:rPr>
          <w:rFonts w:ascii="Times New Roman" w:hAnsi="Times New Roman"/>
          <w:sz w:val="28"/>
        </w:rPr>
        <w:t>iciales</w:t>
      </w:r>
      <w:r w:rsidRPr="00030313">
        <w:rPr>
          <w:rFonts w:ascii="Times New Roman" w:hAnsi="Times New Roman"/>
          <w:sz w:val="28"/>
        </w:rPr>
        <w:t xml:space="preserve"> efectivos</w:t>
      </w:r>
      <w:r w:rsidRPr="00030313">
        <w:rPr>
          <w:rFonts w:ascii="Times New Roman" w:hAnsi="Times New Roman"/>
          <w:sz w:val="28"/>
        </w:rPr>
        <w:t xml:space="preserve"> que</w:t>
      </w:r>
      <w:r w:rsidRPr="00030313">
        <w:rPr>
          <w:rFonts w:ascii="Times New Roman" w:hAnsi="Times New Roman"/>
          <w:sz w:val="28"/>
        </w:rPr>
        <w:t xml:space="preserve"> garanticen la satisfacción de las pretensiones </w:t>
      </w:r>
      <w:r w:rsidRPr="00030313">
        <w:rPr>
          <w:rFonts w:ascii="Times New Roman" w:hAnsi="Times New Roman"/>
          <w:sz w:val="28"/>
        </w:rPr>
        <w:t>de la persona</w:t>
      </w:r>
      <w:r w:rsidRPr="00030313">
        <w:rPr>
          <w:rFonts w:ascii="Times New Roman" w:hAnsi="Times New Roman"/>
          <w:sz w:val="28"/>
        </w:rPr>
        <w:t xml:space="preserve"> accionante.</w:t>
      </w:r>
      <w:r w:rsidRPr="00030313">
        <w:rPr>
          <w:rFonts w:ascii="Times New Roman" w:hAnsi="Times New Roman"/>
          <w:sz w:val="28"/>
        </w:rPr>
        <w:t xml:space="preserve"> Con ello, se supera </w:t>
      </w:r>
      <w:r w:rsidRPr="00030313">
        <w:rPr>
          <w:rFonts w:ascii="Times New Roman" w:hAnsi="Times New Roman"/>
          <w:sz w:val="28"/>
        </w:rPr>
        <w:t>el</w:t>
      </w:r>
      <w:r w:rsidRPr="00030313">
        <w:rPr>
          <w:rFonts w:ascii="Times New Roman" w:hAnsi="Times New Roman"/>
          <w:sz w:val="28"/>
        </w:rPr>
        <w:t xml:space="preserve"> presupuesto de subsidiariedad.</w:t>
      </w:r>
      <w:r w:rsidRPr="00030313">
        <w:rPr>
          <w:rFonts w:ascii="Times New Roman" w:hAnsi="Times New Roman"/>
          <w:sz w:val="28"/>
        </w:rPr>
        <w:t xml:space="preserve"> </w:t>
      </w:r>
    </w:p>
    <w:p w:rsidR="009E0419" w:rsidRPr="00030313" w:rsidRDefault="00030313" w:rsidP="00C61937">
      <w:pPr>
        <w:jc w:val="both"/>
        <w:rPr>
          <w:rFonts w:ascii="Times New Roman" w:hAnsi="Times New Roman"/>
          <w:sz w:val="28"/>
        </w:rPr>
      </w:pPr>
    </w:p>
    <w:p w:rsidR="00C36B4C" w:rsidRPr="00030313" w:rsidRDefault="00030313" w:rsidP="00C61937">
      <w:pPr>
        <w:numPr>
          <w:ilvl w:val="0"/>
          <w:numId w:val="6"/>
        </w:numPr>
        <w:ind w:left="0" w:firstLine="0"/>
        <w:jc w:val="both"/>
        <w:rPr>
          <w:rFonts w:ascii="Times New Roman" w:hAnsi="Times New Roman"/>
          <w:sz w:val="28"/>
        </w:rPr>
      </w:pPr>
      <w:r w:rsidRPr="00030313">
        <w:rPr>
          <w:rFonts w:ascii="Times New Roman" w:hAnsi="Times New Roman"/>
          <w:sz w:val="28"/>
        </w:rPr>
        <w:t>Con esto</w:t>
      </w:r>
      <w:r w:rsidRPr="00030313">
        <w:rPr>
          <w:rFonts w:ascii="Times New Roman" w:hAnsi="Times New Roman"/>
          <w:sz w:val="28"/>
        </w:rPr>
        <w:t>,</w:t>
      </w:r>
      <w:r w:rsidRPr="00030313">
        <w:rPr>
          <w:rFonts w:ascii="Times New Roman" w:hAnsi="Times New Roman"/>
          <w:sz w:val="28"/>
        </w:rPr>
        <w:t xml:space="preserve"> se </w:t>
      </w:r>
      <w:r w:rsidRPr="00030313">
        <w:rPr>
          <w:rFonts w:ascii="Times New Roman" w:hAnsi="Times New Roman"/>
          <w:sz w:val="28"/>
        </w:rPr>
        <w:t>configuran</w:t>
      </w:r>
      <w:r w:rsidRPr="00030313">
        <w:rPr>
          <w:rFonts w:ascii="Times New Roman" w:hAnsi="Times New Roman"/>
          <w:sz w:val="28"/>
        </w:rPr>
        <w:t xml:space="preserve"> todos los requisitos de procedencia de la acción de tutela presentada. </w:t>
      </w:r>
      <w:r w:rsidRPr="00030313">
        <w:rPr>
          <w:rFonts w:ascii="Times New Roman" w:hAnsi="Times New Roman"/>
          <w:sz w:val="28"/>
        </w:rPr>
        <w:t xml:space="preserve">A </w:t>
      </w:r>
      <w:r w:rsidRPr="00030313">
        <w:rPr>
          <w:rFonts w:ascii="Times New Roman" w:hAnsi="Times New Roman"/>
          <w:sz w:val="28"/>
        </w:rPr>
        <w:t>continuación</w:t>
      </w:r>
      <w:r w:rsidRPr="00030313">
        <w:rPr>
          <w:rFonts w:ascii="Times New Roman" w:hAnsi="Times New Roman"/>
          <w:sz w:val="28"/>
        </w:rPr>
        <w:t>, la Sala Quinta de Revisión procederá a resolver</w:t>
      </w:r>
      <w:r w:rsidRPr="00030313">
        <w:rPr>
          <w:rFonts w:ascii="Times New Roman" w:hAnsi="Times New Roman"/>
          <w:sz w:val="28"/>
        </w:rPr>
        <w:t xml:space="preserve"> de fondo lo solicitado por la persona accionante. </w:t>
      </w:r>
      <w:r w:rsidRPr="00030313">
        <w:rPr>
          <w:rFonts w:ascii="Times New Roman" w:hAnsi="Times New Roman"/>
          <w:sz w:val="28"/>
        </w:rPr>
        <w:t xml:space="preserve"> </w:t>
      </w:r>
      <w:r w:rsidRPr="00030313">
        <w:rPr>
          <w:rFonts w:ascii="Times New Roman" w:hAnsi="Times New Roman"/>
          <w:sz w:val="28"/>
        </w:rPr>
        <w:t xml:space="preserve"> </w:t>
      </w:r>
    </w:p>
    <w:p w:rsidR="00C36B4C" w:rsidRPr="00030313" w:rsidRDefault="00030313" w:rsidP="00C61937">
      <w:pPr>
        <w:jc w:val="both"/>
        <w:rPr>
          <w:rFonts w:ascii="Times New Roman" w:hAnsi="Times New Roman"/>
          <w:sz w:val="28"/>
        </w:rPr>
      </w:pPr>
    </w:p>
    <w:p w:rsidR="00C36B4C" w:rsidRPr="00030313" w:rsidRDefault="00030313" w:rsidP="00C61937">
      <w:pPr>
        <w:rPr>
          <w:rFonts w:ascii="Times New Roman" w:hAnsi="Times New Roman"/>
          <w:sz w:val="28"/>
        </w:rPr>
      </w:pPr>
    </w:p>
    <w:p w:rsidR="00C36B4C" w:rsidRPr="00030313" w:rsidRDefault="00030313" w:rsidP="00C61937">
      <w:pPr>
        <w:pStyle w:val="Ttulo2"/>
        <w:numPr>
          <w:ilvl w:val="1"/>
          <w:numId w:val="5"/>
        </w:numPr>
        <w:rPr>
          <w:rFonts w:ascii="Times New Roman" w:hAnsi="Times New Roman"/>
          <w:sz w:val="28"/>
        </w:rPr>
      </w:pPr>
      <w:bookmarkStart w:id="12" w:name="_Toc183628562"/>
      <w:r w:rsidRPr="00030313">
        <w:rPr>
          <w:rFonts w:ascii="Times New Roman" w:hAnsi="Times New Roman"/>
          <w:sz w:val="28"/>
        </w:rPr>
        <w:t>Planteamiento del caso, formulación del problema jurídico y esquema de solución</w:t>
      </w:r>
      <w:bookmarkEnd w:id="12"/>
    </w:p>
    <w:p w:rsidR="00C36B4C" w:rsidRPr="00030313" w:rsidRDefault="00030313" w:rsidP="00C61937">
      <w:pPr>
        <w:rPr>
          <w:rFonts w:ascii="Times New Roman" w:hAnsi="Times New Roman"/>
          <w:b/>
          <w:bCs/>
          <w:sz w:val="28"/>
        </w:rPr>
      </w:pPr>
    </w:p>
    <w:p w:rsidR="002A07E7" w:rsidRPr="00030313" w:rsidRDefault="00030313" w:rsidP="00C61937">
      <w:pPr>
        <w:numPr>
          <w:ilvl w:val="0"/>
          <w:numId w:val="6"/>
        </w:numPr>
        <w:ind w:left="0" w:firstLine="0"/>
        <w:jc w:val="both"/>
        <w:rPr>
          <w:rFonts w:ascii="Times New Roman" w:hAnsi="Times New Roman"/>
          <w:sz w:val="28"/>
        </w:rPr>
      </w:pPr>
      <w:r w:rsidRPr="00030313">
        <w:rPr>
          <w:rFonts w:ascii="Times New Roman" w:hAnsi="Times New Roman"/>
          <w:i/>
          <w:iCs/>
          <w:sz w:val="28"/>
        </w:rPr>
        <w:t>Sergio</w:t>
      </w:r>
      <w:r w:rsidRPr="00030313">
        <w:rPr>
          <w:rFonts w:ascii="Times New Roman" w:hAnsi="Times New Roman"/>
          <w:sz w:val="28"/>
        </w:rPr>
        <w:t xml:space="preserve"> </w:t>
      </w:r>
      <w:r w:rsidRPr="00030313">
        <w:rPr>
          <w:rFonts w:ascii="Times New Roman" w:hAnsi="Times New Roman"/>
          <w:sz w:val="28"/>
        </w:rPr>
        <w:t xml:space="preserve">presentó una acción de tutela con el objetivo de </w:t>
      </w:r>
      <w:r w:rsidRPr="00030313">
        <w:rPr>
          <w:rFonts w:ascii="Times New Roman" w:hAnsi="Times New Roman"/>
          <w:sz w:val="28"/>
        </w:rPr>
        <w:t>que se prote</w:t>
      </w:r>
      <w:r w:rsidRPr="00030313">
        <w:rPr>
          <w:rFonts w:ascii="Times New Roman" w:hAnsi="Times New Roman"/>
          <w:sz w:val="28"/>
        </w:rPr>
        <w:t>jan</w:t>
      </w:r>
      <w:r w:rsidRPr="00030313">
        <w:rPr>
          <w:rFonts w:ascii="Times New Roman" w:hAnsi="Times New Roman"/>
          <w:sz w:val="28"/>
        </w:rPr>
        <w:t xml:space="preserve"> sus derechos al libre desarrollo de la personalidad, derecho a la igualdad </w:t>
      </w:r>
      <w:r w:rsidRPr="00030313">
        <w:rPr>
          <w:rFonts w:ascii="Times New Roman" w:hAnsi="Times New Roman"/>
          <w:sz w:val="28"/>
        </w:rPr>
        <w:t xml:space="preserve">y a la libre circulación. </w:t>
      </w:r>
      <w:r w:rsidRPr="00030313">
        <w:rPr>
          <w:rFonts w:ascii="Times New Roman" w:hAnsi="Times New Roman"/>
          <w:sz w:val="28"/>
        </w:rPr>
        <w:t xml:space="preserve">La persona consideró que </w:t>
      </w:r>
      <w:r w:rsidRPr="00030313">
        <w:rPr>
          <w:rFonts w:ascii="Times New Roman" w:hAnsi="Times New Roman"/>
          <w:sz w:val="28"/>
        </w:rPr>
        <w:t xml:space="preserve">la Registraduría Nacional del Estado Civil vulneró los derechos mencionados, al no </w:t>
      </w:r>
      <w:r w:rsidRPr="00030313">
        <w:rPr>
          <w:rFonts w:ascii="Times New Roman" w:hAnsi="Times New Roman"/>
          <w:sz w:val="28"/>
        </w:rPr>
        <w:t>expedirle</w:t>
      </w:r>
      <w:r w:rsidRPr="00030313">
        <w:rPr>
          <w:rFonts w:ascii="Times New Roman" w:hAnsi="Times New Roman"/>
          <w:sz w:val="28"/>
        </w:rPr>
        <w:t xml:space="preserve"> la cédula de ciudadan</w:t>
      </w:r>
      <w:r w:rsidRPr="00030313">
        <w:rPr>
          <w:rFonts w:ascii="Times New Roman" w:hAnsi="Times New Roman"/>
          <w:sz w:val="28"/>
        </w:rPr>
        <w:t xml:space="preserve">ía en su versión digital, </w:t>
      </w:r>
      <w:r w:rsidRPr="00030313">
        <w:rPr>
          <w:rFonts w:ascii="Times New Roman" w:hAnsi="Times New Roman"/>
          <w:sz w:val="28"/>
        </w:rPr>
        <w:t xml:space="preserve">a pesar de haber pagado debidamente el trámite administrativo. </w:t>
      </w:r>
    </w:p>
    <w:p w:rsidR="002A07E7" w:rsidRPr="00030313" w:rsidRDefault="00030313" w:rsidP="00C61937">
      <w:pPr>
        <w:jc w:val="both"/>
        <w:rPr>
          <w:rFonts w:ascii="Times New Roman" w:hAnsi="Times New Roman"/>
          <w:sz w:val="28"/>
        </w:rPr>
      </w:pPr>
    </w:p>
    <w:p w:rsidR="00F23B9F" w:rsidRPr="00030313" w:rsidRDefault="00030313" w:rsidP="00C61937">
      <w:pPr>
        <w:numPr>
          <w:ilvl w:val="0"/>
          <w:numId w:val="6"/>
        </w:numPr>
        <w:ind w:left="0" w:firstLine="0"/>
        <w:jc w:val="both"/>
        <w:rPr>
          <w:rFonts w:ascii="Times New Roman" w:hAnsi="Times New Roman"/>
          <w:sz w:val="28"/>
        </w:rPr>
      </w:pPr>
      <w:r w:rsidRPr="00030313">
        <w:rPr>
          <w:rFonts w:ascii="Times New Roman" w:hAnsi="Times New Roman"/>
          <w:sz w:val="28"/>
        </w:rPr>
        <w:t xml:space="preserve">Con lo expuesto, la Sala </w:t>
      </w:r>
      <w:r w:rsidRPr="00030313">
        <w:rPr>
          <w:rFonts w:ascii="Times New Roman" w:hAnsi="Times New Roman"/>
          <w:sz w:val="28"/>
        </w:rPr>
        <w:t>observa</w:t>
      </w:r>
      <w:r w:rsidRPr="00030313">
        <w:rPr>
          <w:rFonts w:ascii="Times New Roman" w:hAnsi="Times New Roman"/>
          <w:sz w:val="28"/>
        </w:rPr>
        <w:t xml:space="preserve"> que, si bien </w:t>
      </w:r>
      <w:r w:rsidRPr="00030313">
        <w:rPr>
          <w:rFonts w:ascii="Times New Roman" w:hAnsi="Times New Roman"/>
          <w:sz w:val="28"/>
        </w:rPr>
        <w:t xml:space="preserve">la persona accionante invocó la protección a </w:t>
      </w:r>
      <w:r w:rsidRPr="00030313">
        <w:rPr>
          <w:rFonts w:ascii="Times New Roman" w:hAnsi="Times New Roman"/>
          <w:sz w:val="28"/>
        </w:rPr>
        <w:t xml:space="preserve">los derechos al libre desarrollo de la personalidad y </w:t>
      </w:r>
      <w:r w:rsidRPr="00030313">
        <w:rPr>
          <w:rFonts w:ascii="Times New Roman" w:hAnsi="Times New Roman"/>
          <w:sz w:val="28"/>
        </w:rPr>
        <w:t>el derecho a la igua</w:t>
      </w:r>
      <w:r w:rsidRPr="00030313">
        <w:rPr>
          <w:rFonts w:ascii="Times New Roman" w:hAnsi="Times New Roman"/>
          <w:sz w:val="28"/>
        </w:rPr>
        <w:t xml:space="preserve">ldad, es claro que </w:t>
      </w:r>
      <w:r w:rsidRPr="00030313">
        <w:rPr>
          <w:rFonts w:ascii="Times New Roman" w:hAnsi="Times New Roman"/>
          <w:sz w:val="28"/>
        </w:rPr>
        <w:t xml:space="preserve">el derecho a la identidad de género como </w:t>
      </w:r>
      <w:r w:rsidRPr="00030313">
        <w:rPr>
          <w:rFonts w:ascii="Times New Roman" w:hAnsi="Times New Roman"/>
          <w:sz w:val="28"/>
        </w:rPr>
        <w:t xml:space="preserve">un derecho innominado desarrollado por la jurisprudencia constitucional </w:t>
      </w:r>
      <w:r w:rsidRPr="00030313">
        <w:rPr>
          <w:rFonts w:ascii="Times New Roman" w:hAnsi="Times New Roman"/>
          <w:sz w:val="28"/>
        </w:rPr>
        <w:t>está íntimamente relacionado con la razón por la cual</w:t>
      </w:r>
      <w:r w:rsidRPr="00030313">
        <w:rPr>
          <w:rFonts w:ascii="Times New Roman" w:hAnsi="Times New Roman"/>
          <w:sz w:val="28"/>
        </w:rPr>
        <w:t xml:space="preserve"> </w:t>
      </w:r>
      <w:r w:rsidRPr="00030313">
        <w:rPr>
          <w:rFonts w:ascii="Times New Roman" w:hAnsi="Times New Roman"/>
          <w:i/>
          <w:iCs/>
          <w:sz w:val="28"/>
        </w:rPr>
        <w:t>Sergio</w:t>
      </w:r>
      <w:r w:rsidRPr="00030313">
        <w:rPr>
          <w:rFonts w:ascii="Times New Roman" w:hAnsi="Times New Roman"/>
          <w:sz w:val="28"/>
        </w:rPr>
        <w:t xml:space="preserve"> presentó la acción de tutela, en salvaguarda de que se </w:t>
      </w:r>
      <w:r w:rsidRPr="00030313">
        <w:rPr>
          <w:rFonts w:ascii="Times New Roman" w:hAnsi="Times New Roman"/>
          <w:sz w:val="28"/>
        </w:rPr>
        <w:t>prote</w:t>
      </w:r>
      <w:r w:rsidRPr="00030313">
        <w:rPr>
          <w:rFonts w:ascii="Times New Roman" w:hAnsi="Times New Roman"/>
          <w:sz w:val="28"/>
        </w:rPr>
        <w:t>ja</w:t>
      </w:r>
      <w:r w:rsidRPr="00030313">
        <w:rPr>
          <w:rFonts w:ascii="Times New Roman" w:hAnsi="Times New Roman"/>
          <w:sz w:val="28"/>
        </w:rPr>
        <w:t xml:space="preserve"> su derecho a identificarse con una categoría no binaria</w:t>
      </w:r>
      <w:r w:rsidRPr="00030313">
        <w:rPr>
          <w:rFonts w:ascii="Times New Roman" w:hAnsi="Times New Roman"/>
          <w:sz w:val="28"/>
        </w:rPr>
        <w:t xml:space="preserve"> en relación a su género</w:t>
      </w:r>
      <w:r w:rsidRPr="00030313">
        <w:rPr>
          <w:rFonts w:ascii="Times New Roman" w:hAnsi="Times New Roman"/>
          <w:sz w:val="28"/>
        </w:rPr>
        <w:t xml:space="preserve"> en su documento de identidad en versión digital</w:t>
      </w:r>
      <w:r w:rsidRPr="00030313">
        <w:rPr>
          <w:rFonts w:ascii="Times New Roman" w:hAnsi="Times New Roman"/>
          <w:sz w:val="28"/>
        </w:rPr>
        <w:t xml:space="preserve">. </w:t>
      </w:r>
      <w:r w:rsidRPr="00030313">
        <w:rPr>
          <w:rFonts w:ascii="Times New Roman" w:hAnsi="Times New Roman"/>
          <w:sz w:val="28"/>
        </w:rPr>
        <w:t xml:space="preserve">Asimismo, al controvertir </w:t>
      </w:r>
      <w:r w:rsidRPr="00030313">
        <w:rPr>
          <w:rFonts w:ascii="Times New Roman" w:hAnsi="Times New Roman"/>
          <w:sz w:val="28"/>
        </w:rPr>
        <w:t>la</w:t>
      </w:r>
      <w:r w:rsidRPr="00030313">
        <w:rPr>
          <w:rFonts w:ascii="Times New Roman" w:hAnsi="Times New Roman"/>
          <w:sz w:val="28"/>
        </w:rPr>
        <w:t xml:space="preserve"> decisión</w:t>
      </w:r>
      <w:r w:rsidRPr="00030313">
        <w:rPr>
          <w:rFonts w:ascii="Times New Roman" w:hAnsi="Times New Roman"/>
          <w:sz w:val="28"/>
        </w:rPr>
        <w:t xml:space="preserve"> de la Registraduría</w:t>
      </w:r>
      <w:r w:rsidRPr="00030313">
        <w:rPr>
          <w:rFonts w:ascii="Times New Roman" w:hAnsi="Times New Roman"/>
          <w:sz w:val="28"/>
        </w:rPr>
        <w:t xml:space="preserve"> de no expedir un documento de identificación en su versión digital, </w:t>
      </w:r>
      <w:r w:rsidRPr="00030313">
        <w:rPr>
          <w:rFonts w:ascii="Times New Roman" w:hAnsi="Times New Roman"/>
          <w:sz w:val="28"/>
        </w:rPr>
        <w:t xml:space="preserve">para la Sala es importante </w:t>
      </w:r>
      <w:r w:rsidRPr="00030313">
        <w:rPr>
          <w:rFonts w:ascii="Times New Roman" w:hAnsi="Times New Roman"/>
          <w:sz w:val="28"/>
        </w:rPr>
        <w:t>pronunciarse sobre el derecho a la personalidad jurídica de la persona accionante.</w:t>
      </w:r>
      <w:r w:rsidRPr="00030313">
        <w:rPr>
          <w:rFonts w:ascii="Times New Roman" w:hAnsi="Times New Roman"/>
          <w:sz w:val="28"/>
        </w:rPr>
        <w:t xml:space="preserve"> </w:t>
      </w:r>
      <w:r w:rsidRPr="00030313">
        <w:rPr>
          <w:rFonts w:ascii="Times New Roman" w:hAnsi="Times New Roman"/>
          <w:sz w:val="28"/>
        </w:rPr>
        <w:t xml:space="preserve">Por lo expuesto, esta Corporación considera pertinente aplicar el principio </w:t>
      </w:r>
      <w:r w:rsidRPr="00030313">
        <w:rPr>
          <w:rFonts w:ascii="Times New Roman" w:hAnsi="Times New Roman"/>
          <w:i/>
          <w:iCs/>
          <w:sz w:val="28"/>
        </w:rPr>
        <w:t xml:space="preserve">iura novit curia </w:t>
      </w:r>
      <w:r w:rsidRPr="00030313">
        <w:rPr>
          <w:rFonts w:ascii="Times New Roman" w:hAnsi="Times New Roman"/>
          <w:sz w:val="28"/>
        </w:rPr>
        <w:t>para analizar los derechos referidos en el caso concr</w:t>
      </w:r>
      <w:r w:rsidRPr="00030313">
        <w:rPr>
          <w:rFonts w:ascii="Times New Roman" w:hAnsi="Times New Roman"/>
          <w:sz w:val="28"/>
        </w:rPr>
        <w:t>eto</w:t>
      </w:r>
      <w:r w:rsidRPr="00030313">
        <w:rPr>
          <w:rStyle w:val="Refdenotaalpie"/>
          <w:rFonts w:ascii="Times New Roman" w:hAnsi="Times New Roman"/>
          <w:sz w:val="28"/>
        </w:rPr>
        <w:footnoteReference w:id="34"/>
      </w:r>
      <w:r w:rsidRPr="00030313">
        <w:rPr>
          <w:rFonts w:ascii="Times New Roman" w:hAnsi="Times New Roman"/>
          <w:sz w:val="28"/>
        </w:rPr>
        <w:t>.</w:t>
      </w:r>
      <w:r w:rsidRPr="00030313">
        <w:rPr>
          <w:rFonts w:ascii="Times New Roman" w:hAnsi="Times New Roman"/>
          <w:sz w:val="28"/>
        </w:rPr>
        <w:t xml:space="preserve"> A su vez, el derecho a la libre circulación invocado en la demanda no será analizado por la Sala, en la medida en que no se encontró un escenario de presunta vulneración de sus derechos, en la medida en que el actor cuenta con sus documentos identifi</w:t>
      </w:r>
      <w:r w:rsidRPr="00030313">
        <w:rPr>
          <w:rFonts w:ascii="Times New Roman" w:hAnsi="Times New Roman"/>
          <w:sz w:val="28"/>
        </w:rPr>
        <w:t xml:space="preserve">cación como la cédula amarilla de hologramas y su pasaporte con las marcaciones de </w:t>
      </w:r>
      <w:r w:rsidRPr="00030313">
        <w:rPr>
          <w:rFonts w:ascii="Times New Roman" w:hAnsi="Times New Roman"/>
          <w:sz w:val="28"/>
        </w:rPr>
        <w:t>género correspondiente.</w:t>
      </w:r>
    </w:p>
    <w:p w:rsidR="00C36B4C" w:rsidRPr="00030313" w:rsidRDefault="00030313" w:rsidP="00C61937">
      <w:pPr>
        <w:tabs>
          <w:tab w:val="left" w:pos="426"/>
        </w:tabs>
        <w:jc w:val="both"/>
        <w:rPr>
          <w:rFonts w:ascii="Times New Roman" w:hAnsi="Times New Roman"/>
          <w:b/>
          <w:bCs/>
          <w:sz w:val="28"/>
        </w:rPr>
      </w:pPr>
    </w:p>
    <w:p w:rsidR="00C36B4C" w:rsidRPr="00030313" w:rsidRDefault="00030313" w:rsidP="00C61937">
      <w:pPr>
        <w:numPr>
          <w:ilvl w:val="0"/>
          <w:numId w:val="6"/>
        </w:numPr>
        <w:ind w:left="0" w:firstLine="0"/>
        <w:jc w:val="both"/>
        <w:rPr>
          <w:rFonts w:ascii="Times New Roman" w:hAnsi="Times New Roman"/>
          <w:b/>
          <w:bCs/>
          <w:sz w:val="28"/>
        </w:rPr>
      </w:pPr>
      <w:r w:rsidRPr="00030313">
        <w:rPr>
          <w:rFonts w:ascii="Times New Roman" w:hAnsi="Times New Roman"/>
          <w:sz w:val="28"/>
        </w:rPr>
        <w:t>Con fundamento en lo expuesto, a continuación, la Sala Quinta de Revisión de Tutelas plantea el siguiente problema jurídico que será objeto de análi</w:t>
      </w:r>
      <w:r w:rsidRPr="00030313">
        <w:rPr>
          <w:rFonts w:ascii="Times New Roman" w:hAnsi="Times New Roman"/>
          <w:sz w:val="28"/>
        </w:rPr>
        <w:t xml:space="preserve">sis en esta providencia: </w:t>
      </w:r>
      <w:r w:rsidRPr="00030313">
        <w:rPr>
          <w:rFonts w:ascii="Times New Roman" w:hAnsi="Times New Roman"/>
          <w:sz w:val="28"/>
        </w:rPr>
        <w:t>¿La Registraduría Nacional del Estado Civil vulneró los derechos fundamentales al libre desarrollo de la personalidad</w:t>
      </w:r>
      <w:r w:rsidRPr="00030313">
        <w:rPr>
          <w:rFonts w:ascii="Times New Roman" w:hAnsi="Times New Roman"/>
          <w:sz w:val="28"/>
        </w:rPr>
        <w:t xml:space="preserve">, </w:t>
      </w:r>
      <w:r w:rsidRPr="00030313">
        <w:rPr>
          <w:rFonts w:ascii="Times New Roman" w:hAnsi="Times New Roman"/>
          <w:sz w:val="28"/>
        </w:rPr>
        <w:t>la igualdad</w:t>
      </w:r>
      <w:r w:rsidRPr="00030313">
        <w:rPr>
          <w:rFonts w:ascii="Times New Roman" w:hAnsi="Times New Roman"/>
          <w:sz w:val="28"/>
        </w:rPr>
        <w:t xml:space="preserve">, la personalidad jurídica y la identidad de género </w:t>
      </w:r>
      <w:r w:rsidRPr="00030313">
        <w:rPr>
          <w:rFonts w:ascii="Times New Roman" w:hAnsi="Times New Roman"/>
          <w:sz w:val="28"/>
        </w:rPr>
        <w:t xml:space="preserve">de </w:t>
      </w:r>
      <w:r w:rsidRPr="00030313">
        <w:rPr>
          <w:rFonts w:ascii="Times New Roman" w:hAnsi="Times New Roman"/>
          <w:i/>
          <w:iCs/>
          <w:sz w:val="28"/>
        </w:rPr>
        <w:t>Sergio</w:t>
      </w:r>
      <w:r w:rsidRPr="00030313">
        <w:rPr>
          <w:rFonts w:ascii="Times New Roman" w:hAnsi="Times New Roman"/>
          <w:sz w:val="28"/>
        </w:rPr>
        <w:t xml:space="preserve"> </w:t>
      </w:r>
      <w:r w:rsidRPr="00030313">
        <w:rPr>
          <w:rFonts w:ascii="Times New Roman" w:hAnsi="Times New Roman"/>
          <w:sz w:val="28"/>
        </w:rPr>
        <w:t xml:space="preserve">al no haber expedido su cédula de </w:t>
      </w:r>
      <w:r w:rsidRPr="00030313">
        <w:rPr>
          <w:rFonts w:ascii="Times New Roman" w:hAnsi="Times New Roman"/>
          <w:sz w:val="28"/>
        </w:rPr>
        <w:t>ciudadanía en formato digital con el marcador de sexo “No Binario”?</w:t>
      </w:r>
      <w:r w:rsidRPr="00030313">
        <w:rPr>
          <w:rFonts w:ascii="Times New Roman" w:hAnsi="Times New Roman"/>
          <w:b/>
          <w:bCs/>
          <w:sz w:val="28"/>
        </w:rPr>
        <w:t xml:space="preserve"> </w:t>
      </w:r>
    </w:p>
    <w:p w:rsidR="00C36B4C" w:rsidRPr="00030313" w:rsidRDefault="00030313" w:rsidP="00C61937">
      <w:pPr>
        <w:jc w:val="both"/>
        <w:rPr>
          <w:rFonts w:ascii="Times New Roman" w:hAnsi="Times New Roman"/>
          <w:b/>
          <w:bCs/>
          <w:sz w:val="28"/>
        </w:rPr>
      </w:pPr>
    </w:p>
    <w:p w:rsidR="002779B0" w:rsidRPr="00030313" w:rsidRDefault="00030313" w:rsidP="00C61937">
      <w:pPr>
        <w:numPr>
          <w:ilvl w:val="0"/>
          <w:numId w:val="6"/>
        </w:numPr>
        <w:ind w:left="0" w:firstLine="0"/>
        <w:jc w:val="both"/>
        <w:rPr>
          <w:rFonts w:ascii="Times New Roman" w:hAnsi="Times New Roman"/>
          <w:b/>
          <w:bCs/>
          <w:sz w:val="28"/>
        </w:rPr>
      </w:pPr>
      <w:r w:rsidRPr="00030313">
        <w:rPr>
          <w:rFonts w:ascii="Times New Roman" w:hAnsi="Times New Roman"/>
          <w:sz w:val="28"/>
        </w:rPr>
        <w:t>Para resolver el problema jurídico planteado, la Sala Quinta de Revisión reiterará la jurisprudencia en torno a</w:t>
      </w:r>
      <w:r w:rsidRPr="00030313">
        <w:rPr>
          <w:rFonts w:ascii="Times New Roman" w:hAnsi="Times New Roman"/>
          <w:sz w:val="28"/>
        </w:rPr>
        <w:t xml:space="preserve"> </w:t>
      </w:r>
      <w:r w:rsidRPr="00030313">
        <w:rPr>
          <w:rFonts w:ascii="Times New Roman" w:hAnsi="Times New Roman"/>
          <w:i/>
          <w:iCs/>
          <w:sz w:val="28"/>
        </w:rPr>
        <w:t xml:space="preserve">(i) </w:t>
      </w:r>
      <w:r w:rsidRPr="00030313">
        <w:rPr>
          <w:rFonts w:ascii="Times New Roman" w:hAnsi="Times New Roman"/>
          <w:sz w:val="28"/>
        </w:rPr>
        <w:t>el derecho a la igualdad en el ordenamiento jurídico constitucional;</w:t>
      </w:r>
      <w:r w:rsidRPr="00030313">
        <w:rPr>
          <w:rFonts w:ascii="Times New Roman" w:hAnsi="Times New Roman"/>
          <w:i/>
          <w:iCs/>
          <w:sz w:val="28"/>
        </w:rPr>
        <w:t xml:space="preserve"> (</w:t>
      </w:r>
      <w:r w:rsidRPr="00030313">
        <w:rPr>
          <w:rFonts w:ascii="Times New Roman" w:hAnsi="Times New Roman"/>
          <w:i/>
          <w:iCs/>
          <w:sz w:val="28"/>
        </w:rPr>
        <w:t>ii)</w:t>
      </w:r>
      <w:r w:rsidRPr="00030313">
        <w:rPr>
          <w:rFonts w:ascii="Times New Roman" w:hAnsi="Times New Roman"/>
          <w:sz w:val="28"/>
        </w:rPr>
        <w:t xml:space="preserve"> </w:t>
      </w:r>
      <w:r w:rsidRPr="00030313">
        <w:rPr>
          <w:rFonts w:ascii="Times New Roman" w:hAnsi="Times New Roman"/>
          <w:sz w:val="28"/>
        </w:rPr>
        <w:t xml:space="preserve">el derecho a la identidad de género y su relación con el derecho al libre desarrollo de la personalidad; </w:t>
      </w:r>
      <w:r w:rsidRPr="00030313">
        <w:rPr>
          <w:rFonts w:ascii="Times New Roman" w:hAnsi="Times New Roman"/>
          <w:i/>
          <w:iCs/>
          <w:sz w:val="28"/>
        </w:rPr>
        <w:t>(</w:t>
      </w:r>
      <w:r w:rsidRPr="00030313">
        <w:rPr>
          <w:rFonts w:ascii="Times New Roman" w:hAnsi="Times New Roman"/>
          <w:i/>
          <w:iCs/>
          <w:sz w:val="28"/>
        </w:rPr>
        <w:t>ii</w:t>
      </w:r>
      <w:r w:rsidRPr="00030313">
        <w:rPr>
          <w:rFonts w:ascii="Times New Roman" w:hAnsi="Times New Roman"/>
          <w:i/>
          <w:iCs/>
          <w:sz w:val="28"/>
        </w:rPr>
        <w:t>i</w:t>
      </w:r>
      <w:r w:rsidRPr="00030313">
        <w:rPr>
          <w:rFonts w:ascii="Times New Roman" w:hAnsi="Times New Roman"/>
          <w:i/>
          <w:iCs/>
          <w:sz w:val="28"/>
        </w:rPr>
        <w:t xml:space="preserve">) </w:t>
      </w:r>
      <w:r w:rsidRPr="00030313">
        <w:rPr>
          <w:rFonts w:ascii="Times New Roman" w:hAnsi="Times New Roman"/>
          <w:sz w:val="28"/>
        </w:rPr>
        <w:t>el derecho a la personalidad jurídica</w:t>
      </w:r>
      <w:r w:rsidRPr="00030313">
        <w:rPr>
          <w:rFonts w:ascii="Times New Roman" w:hAnsi="Times New Roman"/>
          <w:sz w:val="28"/>
        </w:rPr>
        <w:t xml:space="preserve"> y</w:t>
      </w:r>
      <w:r w:rsidRPr="00030313">
        <w:rPr>
          <w:rFonts w:ascii="Times New Roman" w:hAnsi="Times New Roman"/>
          <w:i/>
          <w:iCs/>
          <w:sz w:val="28"/>
        </w:rPr>
        <w:t xml:space="preserve"> </w:t>
      </w:r>
      <w:r w:rsidRPr="00030313">
        <w:rPr>
          <w:rFonts w:ascii="Times New Roman" w:hAnsi="Times New Roman"/>
          <w:sz w:val="28"/>
        </w:rPr>
        <w:t xml:space="preserve">el uso actual de la cédula de ciudadanía digital en Colombia; </w:t>
      </w:r>
      <w:r w:rsidRPr="00030313">
        <w:rPr>
          <w:rFonts w:ascii="Times New Roman" w:hAnsi="Times New Roman"/>
          <w:i/>
          <w:iCs/>
          <w:sz w:val="28"/>
        </w:rPr>
        <w:t xml:space="preserve">(iv) </w:t>
      </w:r>
      <w:r w:rsidRPr="00030313">
        <w:rPr>
          <w:rFonts w:ascii="Times New Roman" w:hAnsi="Times New Roman"/>
          <w:sz w:val="28"/>
        </w:rPr>
        <w:t>los avances legislativos en el Con</w:t>
      </w:r>
      <w:r w:rsidRPr="00030313">
        <w:rPr>
          <w:rFonts w:ascii="Times New Roman" w:hAnsi="Times New Roman"/>
          <w:sz w:val="28"/>
        </w:rPr>
        <w:t>greso desde la Sentencia T-033 de 2022; y, finalmente,</w:t>
      </w:r>
      <w:r w:rsidRPr="00030313">
        <w:rPr>
          <w:rFonts w:ascii="Times New Roman" w:hAnsi="Times New Roman"/>
          <w:sz w:val="28"/>
        </w:rPr>
        <w:t xml:space="preserve"> </w:t>
      </w:r>
      <w:r w:rsidRPr="00030313">
        <w:rPr>
          <w:rFonts w:ascii="Times New Roman" w:hAnsi="Times New Roman"/>
          <w:i/>
          <w:iCs/>
          <w:sz w:val="28"/>
        </w:rPr>
        <w:t>(v)</w:t>
      </w:r>
      <w:r w:rsidRPr="00030313">
        <w:rPr>
          <w:rFonts w:ascii="Times New Roman" w:hAnsi="Times New Roman"/>
          <w:sz w:val="28"/>
        </w:rPr>
        <w:t xml:space="preserve"> se analizará el caso concreto. </w:t>
      </w:r>
    </w:p>
    <w:p w:rsidR="00C36B4C" w:rsidRPr="00030313" w:rsidRDefault="00030313" w:rsidP="00C61937">
      <w:pPr>
        <w:jc w:val="both"/>
        <w:rPr>
          <w:rFonts w:ascii="Times New Roman" w:hAnsi="Times New Roman"/>
          <w:b/>
          <w:iCs/>
          <w:spacing w:val="5"/>
          <w:sz w:val="28"/>
        </w:rPr>
      </w:pPr>
    </w:p>
    <w:p w:rsidR="00120C24" w:rsidRPr="00030313" w:rsidRDefault="00030313" w:rsidP="00C61937">
      <w:pPr>
        <w:jc w:val="both"/>
        <w:rPr>
          <w:rFonts w:ascii="Times New Roman" w:hAnsi="Times New Roman"/>
          <w:b/>
          <w:iCs/>
          <w:spacing w:val="5"/>
          <w:sz w:val="28"/>
        </w:rPr>
      </w:pPr>
    </w:p>
    <w:p w:rsidR="00120C24" w:rsidRPr="00030313" w:rsidRDefault="00030313" w:rsidP="00C61937">
      <w:pPr>
        <w:pStyle w:val="Ttulo2"/>
        <w:numPr>
          <w:ilvl w:val="1"/>
          <w:numId w:val="5"/>
        </w:numPr>
        <w:rPr>
          <w:rFonts w:ascii="Times New Roman" w:hAnsi="Times New Roman"/>
          <w:sz w:val="28"/>
        </w:rPr>
      </w:pPr>
      <w:bookmarkStart w:id="13" w:name="_Toc183628563"/>
      <w:r w:rsidRPr="00030313">
        <w:rPr>
          <w:rFonts w:ascii="Times New Roman" w:hAnsi="Times New Roman"/>
          <w:sz w:val="28"/>
        </w:rPr>
        <w:t>El derecho a la igualdad en el ordenamiento constitucional y la prohibición de discriminación</w:t>
      </w:r>
      <w:bookmarkEnd w:id="13"/>
      <w:r w:rsidRPr="00030313">
        <w:rPr>
          <w:rFonts w:ascii="Times New Roman" w:hAnsi="Times New Roman"/>
          <w:sz w:val="28"/>
        </w:rPr>
        <w:t xml:space="preserve"> </w:t>
      </w:r>
    </w:p>
    <w:p w:rsidR="00120C24" w:rsidRPr="00030313" w:rsidRDefault="00030313" w:rsidP="00C61937">
      <w:pPr>
        <w:jc w:val="both"/>
        <w:rPr>
          <w:rFonts w:ascii="Times New Roman" w:hAnsi="Times New Roman"/>
          <w:b/>
          <w:iCs/>
          <w:spacing w:val="5"/>
          <w:sz w:val="28"/>
        </w:rPr>
      </w:pPr>
    </w:p>
    <w:p w:rsidR="00120C24" w:rsidRPr="00030313" w:rsidRDefault="00030313" w:rsidP="00C61937">
      <w:pPr>
        <w:numPr>
          <w:ilvl w:val="0"/>
          <w:numId w:val="6"/>
        </w:numPr>
        <w:ind w:left="0" w:firstLine="0"/>
        <w:jc w:val="both"/>
        <w:rPr>
          <w:rFonts w:ascii="Times New Roman" w:hAnsi="Times New Roman"/>
          <w:b/>
          <w:iCs/>
          <w:spacing w:val="5"/>
          <w:sz w:val="28"/>
        </w:rPr>
      </w:pPr>
      <w:r w:rsidRPr="00030313">
        <w:rPr>
          <w:rFonts w:ascii="Times New Roman" w:hAnsi="Times New Roman"/>
          <w:bCs/>
          <w:iCs/>
          <w:spacing w:val="5"/>
          <w:sz w:val="28"/>
        </w:rPr>
        <w:t>El artículo 13 de la Constitución Política dispone que:</w:t>
      </w:r>
    </w:p>
    <w:p w:rsidR="00120C24" w:rsidRPr="00030313" w:rsidRDefault="00030313" w:rsidP="00C61937">
      <w:pPr>
        <w:jc w:val="both"/>
        <w:rPr>
          <w:rFonts w:ascii="Times New Roman" w:hAnsi="Times New Roman"/>
          <w:bCs/>
          <w:i/>
          <w:spacing w:val="5"/>
          <w:sz w:val="28"/>
        </w:rPr>
      </w:pPr>
    </w:p>
    <w:p w:rsidR="00120C24" w:rsidRPr="00030313" w:rsidRDefault="00030313" w:rsidP="00C61937">
      <w:pPr>
        <w:ind w:left="284" w:right="334"/>
        <w:jc w:val="both"/>
        <w:rPr>
          <w:rFonts w:ascii="Times New Roman" w:hAnsi="Times New Roman"/>
          <w:b/>
          <w:iCs/>
          <w:spacing w:val="5"/>
          <w:sz w:val="28"/>
        </w:rPr>
      </w:pPr>
      <w:r w:rsidRPr="00030313">
        <w:rPr>
          <w:rFonts w:ascii="Times New Roman" w:hAnsi="Times New Roman"/>
          <w:bCs/>
          <w:i/>
          <w:spacing w:val="5"/>
          <w:sz w:val="28"/>
        </w:rPr>
        <w:t>Todas las personas nacen libres e iguales ante la ley, recibirán la misma protección y trato de las autoridades y gozarán de los mismos derechos, libertades y oportunidades sin ninguna discriminación por razones de sexo, raza, origen nacional o familiar, l</w:t>
      </w:r>
      <w:r w:rsidRPr="00030313">
        <w:rPr>
          <w:rFonts w:ascii="Times New Roman" w:hAnsi="Times New Roman"/>
          <w:bCs/>
          <w:i/>
          <w:spacing w:val="5"/>
          <w:sz w:val="28"/>
        </w:rPr>
        <w:t>engua, religión, opinión, política o filosófica. El Estado promoverá las condiciones para que la igualdad sea real y efectiva y adoptará medidas en favor de grupos discriminados o marginados. El Estado protegerá especialmente a aquellas personas que por su</w:t>
      </w:r>
      <w:r w:rsidRPr="00030313">
        <w:rPr>
          <w:rFonts w:ascii="Times New Roman" w:hAnsi="Times New Roman"/>
          <w:bCs/>
          <w:i/>
          <w:spacing w:val="5"/>
          <w:sz w:val="28"/>
        </w:rPr>
        <w:t xml:space="preserve"> condición económica, física o mental, se encuentren en circunstancia de debilidad manifiesta y sancionará los abusos o maltratos que contra ellas se cometan.</w:t>
      </w:r>
    </w:p>
    <w:p w:rsidR="00120C24" w:rsidRPr="00030313" w:rsidRDefault="00030313" w:rsidP="00C61937">
      <w:pPr>
        <w:jc w:val="both"/>
        <w:rPr>
          <w:rFonts w:ascii="Times New Roman" w:hAnsi="Times New Roman"/>
          <w:b/>
          <w:iCs/>
          <w:spacing w:val="5"/>
          <w:sz w:val="28"/>
        </w:rPr>
      </w:pPr>
    </w:p>
    <w:p w:rsidR="00120C24" w:rsidRPr="00030313" w:rsidRDefault="00030313" w:rsidP="00C61937">
      <w:pPr>
        <w:numPr>
          <w:ilvl w:val="0"/>
          <w:numId w:val="6"/>
        </w:numPr>
        <w:ind w:left="0" w:firstLine="0"/>
        <w:jc w:val="both"/>
        <w:rPr>
          <w:rFonts w:ascii="Times New Roman" w:hAnsi="Times New Roman"/>
          <w:b/>
          <w:iCs/>
          <w:spacing w:val="5"/>
          <w:sz w:val="28"/>
        </w:rPr>
      </w:pPr>
      <w:r w:rsidRPr="00030313">
        <w:rPr>
          <w:rFonts w:ascii="Times New Roman" w:hAnsi="Times New Roman"/>
          <w:bCs/>
          <w:iCs/>
          <w:spacing w:val="5"/>
          <w:sz w:val="28"/>
        </w:rPr>
        <w:t>De acuerdo con la Constitución, esta Corporación determinó que la igualdad es un concepto multid</w:t>
      </w:r>
      <w:r w:rsidRPr="00030313">
        <w:rPr>
          <w:rFonts w:ascii="Times New Roman" w:hAnsi="Times New Roman"/>
          <w:bCs/>
          <w:iCs/>
          <w:spacing w:val="5"/>
          <w:sz w:val="28"/>
        </w:rPr>
        <w:t>imensional que se reconoce como un valor, un principio, un derecho fundamental y una garantía</w:t>
      </w:r>
      <w:r w:rsidRPr="00030313">
        <w:rPr>
          <w:rStyle w:val="Refdenotaalpie"/>
          <w:rFonts w:ascii="Times New Roman" w:hAnsi="Times New Roman"/>
          <w:bCs/>
          <w:iCs/>
          <w:spacing w:val="5"/>
          <w:sz w:val="28"/>
        </w:rPr>
        <w:footnoteReference w:id="35"/>
      </w:r>
      <w:r w:rsidRPr="00030313">
        <w:rPr>
          <w:rFonts w:ascii="Times New Roman" w:hAnsi="Times New Roman"/>
          <w:bCs/>
          <w:iCs/>
          <w:spacing w:val="5"/>
          <w:sz w:val="28"/>
        </w:rPr>
        <w:t>.</w:t>
      </w:r>
      <w:r w:rsidRPr="00030313">
        <w:rPr>
          <w:rFonts w:ascii="Times New Roman" w:hAnsi="Times New Roman"/>
          <w:bCs/>
          <w:iCs/>
          <w:spacing w:val="5"/>
          <w:sz w:val="28"/>
        </w:rPr>
        <w:t xml:space="preserve"> En su faceta de valor, la igualdad reconduce a una norma que establece fines dirigidos a todas las autoridades creadoras del derecho, en especial, al legislador</w:t>
      </w:r>
      <w:r w:rsidRPr="00030313">
        <w:rPr>
          <w:rStyle w:val="Refdenotaalpie"/>
          <w:rFonts w:ascii="Times New Roman" w:hAnsi="Times New Roman"/>
          <w:bCs/>
          <w:iCs/>
          <w:spacing w:val="5"/>
          <w:sz w:val="28"/>
        </w:rPr>
        <w:footnoteReference w:id="36"/>
      </w:r>
      <w:r w:rsidRPr="00030313">
        <w:rPr>
          <w:rFonts w:ascii="Times New Roman" w:hAnsi="Times New Roman"/>
          <w:bCs/>
          <w:iCs/>
          <w:spacing w:val="5"/>
          <w:sz w:val="28"/>
        </w:rPr>
        <w:t>.</w:t>
      </w:r>
      <w:r w:rsidRPr="00030313">
        <w:rPr>
          <w:rFonts w:ascii="Times New Roman" w:hAnsi="Times New Roman"/>
          <w:bCs/>
          <w:iCs/>
          <w:spacing w:val="5"/>
          <w:sz w:val="28"/>
        </w:rPr>
        <w:t xml:space="preserve"> De otro lado, en su dimensión de principio, la igualdad es un mandato de optimización que debe ser materializado en el mayor grado posible. En su faceta de garantía y derecho subjetivo, la igualdad se refiere a los deberes de abstención y de acción. Sob</w:t>
      </w:r>
      <w:r w:rsidRPr="00030313">
        <w:rPr>
          <w:rFonts w:ascii="Times New Roman" w:hAnsi="Times New Roman"/>
          <w:bCs/>
          <w:iCs/>
          <w:spacing w:val="5"/>
          <w:sz w:val="28"/>
        </w:rPr>
        <w:t xml:space="preserve">re la abstención, esta involucra la prohibición de discriminación. En materia de acción, se trata de las obligaciones de diseño de políticas públicas que supongan tratos favorables a grupos en situación de debilidad manifiesta o desigualdad fáctica. </w:t>
      </w:r>
    </w:p>
    <w:p w:rsidR="00120C24" w:rsidRPr="00030313" w:rsidRDefault="00030313" w:rsidP="00C61937">
      <w:pPr>
        <w:jc w:val="both"/>
        <w:rPr>
          <w:rFonts w:ascii="Times New Roman" w:hAnsi="Times New Roman"/>
          <w:b/>
          <w:iCs/>
          <w:spacing w:val="5"/>
          <w:sz w:val="28"/>
        </w:rPr>
      </w:pPr>
    </w:p>
    <w:p w:rsidR="00120C24" w:rsidRPr="00030313" w:rsidRDefault="00030313" w:rsidP="00C61937">
      <w:pPr>
        <w:numPr>
          <w:ilvl w:val="0"/>
          <w:numId w:val="6"/>
        </w:numPr>
        <w:ind w:left="0" w:firstLine="0"/>
        <w:jc w:val="both"/>
        <w:rPr>
          <w:rFonts w:ascii="Times New Roman" w:hAnsi="Times New Roman"/>
          <w:b/>
          <w:iCs/>
          <w:spacing w:val="5"/>
          <w:sz w:val="28"/>
        </w:rPr>
      </w:pPr>
      <w:r w:rsidRPr="00030313">
        <w:rPr>
          <w:rFonts w:ascii="Times New Roman" w:hAnsi="Times New Roman"/>
          <w:bCs/>
          <w:iCs/>
          <w:spacing w:val="5"/>
          <w:sz w:val="28"/>
        </w:rPr>
        <w:t>El d</w:t>
      </w:r>
      <w:r w:rsidRPr="00030313">
        <w:rPr>
          <w:rFonts w:ascii="Times New Roman" w:hAnsi="Times New Roman"/>
          <w:bCs/>
          <w:iCs/>
          <w:spacing w:val="5"/>
          <w:sz w:val="28"/>
        </w:rPr>
        <w:t xml:space="preserve">erecho fundamental a la igualdad es un precepto complejo de un Estado Social de Derecho que comporta un conjunto de mandatos independientes y no siempre armónicos, entre los cuales se destacan: </w:t>
      </w:r>
      <w:r w:rsidRPr="00030313">
        <w:rPr>
          <w:rFonts w:ascii="Times New Roman" w:hAnsi="Times New Roman"/>
          <w:bCs/>
          <w:i/>
          <w:spacing w:val="5"/>
          <w:sz w:val="28"/>
        </w:rPr>
        <w:t xml:space="preserve">(i) </w:t>
      </w:r>
      <w:r w:rsidRPr="00030313">
        <w:rPr>
          <w:rFonts w:ascii="Times New Roman" w:hAnsi="Times New Roman"/>
          <w:bCs/>
          <w:iCs/>
          <w:spacing w:val="5"/>
          <w:sz w:val="28"/>
        </w:rPr>
        <w:t xml:space="preserve">la igualdad formal, relacionada con el carácter general y </w:t>
      </w:r>
      <w:r w:rsidRPr="00030313">
        <w:rPr>
          <w:rFonts w:ascii="Times New Roman" w:hAnsi="Times New Roman"/>
          <w:bCs/>
          <w:iCs/>
          <w:spacing w:val="5"/>
          <w:sz w:val="28"/>
        </w:rPr>
        <w:t xml:space="preserve">abstracto de las disposiciones normativas dictadas por el Congreso de la República y su aplicación a todas las personas; </w:t>
      </w:r>
      <w:r w:rsidRPr="00030313">
        <w:rPr>
          <w:rFonts w:ascii="Times New Roman" w:hAnsi="Times New Roman"/>
          <w:bCs/>
          <w:i/>
          <w:spacing w:val="5"/>
          <w:sz w:val="28"/>
        </w:rPr>
        <w:t xml:space="preserve">(ii) </w:t>
      </w:r>
      <w:r w:rsidRPr="00030313">
        <w:rPr>
          <w:rFonts w:ascii="Times New Roman" w:hAnsi="Times New Roman"/>
          <w:bCs/>
          <w:iCs/>
          <w:spacing w:val="5"/>
          <w:sz w:val="28"/>
        </w:rPr>
        <w:t>la igualdad material, que ordena la adopción de medidas afirmativas para asegurar la vigencia del principio de igualdad ante circu</w:t>
      </w:r>
      <w:r w:rsidRPr="00030313">
        <w:rPr>
          <w:rFonts w:ascii="Times New Roman" w:hAnsi="Times New Roman"/>
          <w:bCs/>
          <w:iCs/>
          <w:spacing w:val="5"/>
          <w:sz w:val="28"/>
        </w:rPr>
        <w:t xml:space="preserve">nstancias fácticas desiguales; y </w:t>
      </w:r>
      <w:r w:rsidRPr="00030313">
        <w:rPr>
          <w:rFonts w:ascii="Times New Roman" w:hAnsi="Times New Roman"/>
          <w:bCs/>
          <w:i/>
          <w:spacing w:val="5"/>
          <w:sz w:val="28"/>
        </w:rPr>
        <w:t xml:space="preserve">(iii) </w:t>
      </w:r>
      <w:r w:rsidRPr="00030313">
        <w:rPr>
          <w:rFonts w:ascii="Times New Roman" w:hAnsi="Times New Roman"/>
          <w:bCs/>
          <w:iCs/>
          <w:spacing w:val="5"/>
          <w:sz w:val="28"/>
        </w:rPr>
        <w:t>la prohibición de discriminación, que excluye la legitimidad constitucional de cualquier acto que involucre una distinción basada en motivos definidos como prohibidos por la Constitución, el derecho internacional de l</w:t>
      </w:r>
      <w:r w:rsidRPr="00030313">
        <w:rPr>
          <w:rFonts w:ascii="Times New Roman" w:hAnsi="Times New Roman"/>
          <w:bCs/>
          <w:iCs/>
          <w:spacing w:val="5"/>
          <w:sz w:val="28"/>
        </w:rPr>
        <w:t>os Derechos Humanos, o la prohibición de distinciones irrazonables</w:t>
      </w:r>
      <w:r w:rsidRPr="00030313">
        <w:rPr>
          <w:rStyle w:val="Refdenotaalpie"/>
          <w:rFonts w:ascii="Times New Roman" w:hAnsi="Times New Roman"/>
          <w:bCs/>
          <w:iCs/>
          <w:spacing w:val="5"/>
          <w:sz w:val="28"/>
        </w:rPr>
        <w:footnoteReference w:id="37"/>
      </w:r>
      <w:r w:rsidRPr="00030313">
        <w:rPr>
          <w:rFonts w:ascii="Times New Roman" w:hAnsi="Times New Roman"/>
          <w:bCs/>
          <w:iCs/>
          <w:spacing w:val="5"/>
          <w:sz w:val="28"/>
        </w:rPr>
        <w:t>.</w:t>
      </w:r>
      <w:r w:rsidRPr="00030313">
        <w:rPr>
          <w:rFonts w:ascii="Times New Roman" w:hAnsi="Times New Roman"/>
          <w:bCs/>
          <w:iCs/>
          <w:spacing w:val="5"/>
          <w:sz w:val="28"/>
        </w:rPr>
        <w:t xml:space="preserve"> </w:t>
      </w:r>
    </w:p>
    <w:p w:rsidR="00120C24" w:rsidRPr="00030313" w:rsidRDefault="00030313" w:rsidP="00C61937">
      <w:pPr>
        <w:jc w:val="both"/>
        <w:rPr>
          <w:rFonts w:ascii="Times New Roman" w:hAnsi="Times New Roman"/>
          <w:b/>
          <w:iCs/>
          <w:spacing w:val="5"/>
          <w:sz w:val="28"/>
        </w:rPr>
      </w:pPr>
    </w:p>
    <w:p w:rsidR="00120C24" w:rsidRPr="00030313" w:rsidRDefault="00030313" w:rsidP="00C61937">
      <w:pPr>
        <w:numPr>
          <w:ilvl w:val="0"/>
          <w:numId w:val="6"/>
        </w:numPr>
        <w:ind w:left="0" w:firstLine="0"/>
        <w:jc w:val="both"/>
        <w:rPr>
          <w:rFonts w:ascii="Times New Roman" w:hAnsi="Times New Roman"/>
          <w:b/>
          <w:iCs/>
          <w:spacing w:val="5"/>
          <w:sz w:val="28"/>
        </w:rPr>
      </w:pPr>
      <w:r w:rsidRPr="00030313">
        <w:rPr>
          <w:rFonts w:ascii="Times New Roman" w:hAnsi="Times New Roman"/>
          <w:b/>
          <w:i/>
          <w:spacing w:val="5"/>
          <w:sz w:val="28"/>
        </w:rPr>
        <w:t>La igualdad formal o igualdad ante la Ley.</w:t>
      </w:r>
      <w:r w:rsidRPr="00030313">
        <w:rPr>
          <w:rFonts w:ascii="Times New Roman" w:hAnsi="Times New Roman"/>
          <w:bCs/>
          <w:iCs/>
          <w:spacing w:val="5"/>
          <w:sz w:val="28"/>
        </w:rPr>
        <w:t xml:space="preserve"> Este tipo de igualdad se refiere al carácter general y abstracto de las disposiciones normativas que dicta el órgano legislativo del poder público y su aplicación uniforme a todas las personas. En términos concretos, implica que la Ley, en su literalidad,</w:t>
      </w:r>
      <w:r w:rsidRPr="00030313">
        <w:rPr>
          <w:rFonts w:ascii="Times New Roman" w:hAnsi="Times New Roman"/>
          <w:bCs/>
          <w:iCs/>
          <w:spacing w:val="5"/>
          <w:sz w:val="28"/>
        </w:rPr>
        <w:t xml:space="preserve"> cobija y protege a todas las personas, sin distinción alguna, y se aplica en igualdad de condiciones a todos los sujetos contra quienes se dirige</w:t>
      </w:r>
      <w:r w:rsidRPr="00030313">
        <w:rPr>
          <w:rStyle w:val="Refdenotaalpie"/>
          <w:rFonts w:ascii="Times New Roman" w:hAnsi="Times New Roman"/>
          <w:bCs/>
          <w:iCs/>
          <w:spacing w:val="5"/>
          <w:sz w:val="28"/>
        </w:rPr>
        <w:footnoteReference w:id="38"/>
      </w:r>
      <w:r w:rsidRPr="00030313">
        <w:rPr>
          <w:rFonts w:ascii="Times New Roman" w:hAnsi="Times New Roman"/>
          <w:bCs/>
          <w:iCs/>
          <w:spacing w:val="5"/>
          <w:sz w:val="28"/>
        </w:rPr>
        <w:t>.</w:t>
      </w:r>
      <w:r w:rsidRPr="00030313">
        <w:rPr>
          <w:rFonts w:ascii="Times New Roman" w:hAnsi="Times New Roman"/>
          <w:bCs/>
          <w:iCs/>
          <w:spacing w:val="5"/>
          <w:sz w:val="28"/>
        </w:rPr>
        <w:t xml:space="preserve"> </w:t>
      </w:r>
    </w:p>
    <w:p w:rsidR="00120C24" w:rsidRPr="00030313" w:rsidRDefault="00030313" w:rsidP="00C61937">
      <w:pPr>
        <w:jc w:val="both"/>
        <w:rPr>
          <w:rFonts w:ascii="Times New Roman" w:hAnsi="Times New Roman"/>
          <w:b/>
          <w:iCs/>
          <w:spacing w:val="5"/>
          <w:sz w:val="28"/>
        </w:rPr>
      </w:pPr>
    </w:p>
    <w:p w:rsidR="00120C24" w:rsidRPr="00030313" w:rsidRDefault="00030313" w:rsidP="00C61937">
      <w:pPr>
        <w:numPr>
          <w:ilvl w:val="0"/>
          <w:numId w:val="6"/>
        </w:numPr>
        <w:ind w:left="0" w:firstLine="0"/>
        <w:jc w:val="both"/>
        <w:rPr>
          <w:rFonts w:ascii="Times New Roman" w:hAnsi="Times New Roman"/>
          <w:b/>
          <w:iCs/>
          <w:spacing w:val="5"/>
          <w:sz w:val="28"/>
        </w:rPr>
      </w:pPr>
      <w:r w:rsidRPr="00030313">
        <w:rPr>
          <w:rFonts w:ascii="Times New Roman" w:hAnsi="Times New Roman"/>
          <w:b/>
          <w:i/>
          <w:spacing w:val="5"/>
          <w:sz w:val="28"/>
        </w:rPr>
        <w:t>La igualdad material.</w:t>
      </w:r>
      <w:r w:rsidRPr="00030313">
        <w:rPr>
          <w:rFonts w:ascii="Times New Roman" w:hAnsi="Times New Roman"/>
          <w:b/>
          <w:iCs/>
          <w:spacing w:val="5"/>
          <w:sz w:val="28"/>
        </w:rPr>
        <w:t xml:space="preserve"> </w:t>
      </w:r>
      <w:r w:rsidRPr="00030313">
        <w:rPr>
          <w:rFonts w:ascii="Times New Roman" w:hAnsi="Times New Roman"/>
          <w:bCs/>
          <w:iCs/>
          <w:spacing w:val="5"/>
          <w:sz w:val="28"/>
        </w:rPr>
        <w:t>Esta faceta del derecho a la igualdad ordena la adopción de medidas afirmativas par</w:t>
      </w:r>
      <w:r w:rsidRPr="00030313">
        <w:rPr>
          <w:rFonts w:ascii="Times New Roman" w:hAnsi="Times New Roman"/>
          <w:bCs/>
          <w:iCs/>
          <w:spacing w:val="5"/>
          <w:sz w:val="28"/>
        </w:rPr>
        <w:t>a asegurar la vigencia del principio fundamental ante circunstancias fácticas desiguales. Los incisos 2 y 3 del artículo 13 de la Constitución Política reconocen la existencia de condiciones materiales de desigualdad sobre las cuales el Estado debe interve</w:t>
      </w:r>
      <w:r w:rsidRPr="00030313">
        <w:rPr>
          <w:rFonts w:ascii="Times New Roman" w:hAnsi="Times New Roman"/>
          <w:bCs/>
          <w:iCs/>
          <w:spacing w:val="5"/>
          <w:sz w:val="28"/>
        </w:rPr>
        <w:t>nir para asegurar que, de forma tangible, este derecho se materialice para beneficio de todos los ciudadanos. Con relación a los sujetos a los cuales hace referencia el inciso 3</w:t>
      </w:r>
      <w:r w:rsidRPr="00030313">
        <w:rPr>
          <w:rStyle w:val="Refdenotaalpie"/>
          <w:rFonts w:ascii="Times New Roman" w:hAnsi="Times New Roman"/>
          <w:bCs/>
          <w:iCs/>
          <w:spacing w:val="5"/>
          <w:sz w:val="28"/>
        </w:rPr>
        <w:footnoteReference w:id="39"/>
      </w:r>
      <w:r w:rsidRPr="00030313">
        <w:rPr>
          <w:rFonts w:ascii="Times New Roman" w:hAnsi="Times New Roman"/>
          <w:bCs/>
          <w:iCs/>
          <w:spacing w:val="5"/>
          <w:sz w:val="28"/>
        </w:rPr>
        <w:t xml:space="preserve"> del artículo 13 Superior y respecto de los cuales se advierten unas condiciones fácticas de desigualdad</w:t>
      </w:r>
      <w:r w:rsidRPr="00030313">
        <w:rPr>
          <w:rStyle w:val="Refdenotaalpie"/>
          <w:rFonts w:ascii="Times New Roman" w:hAnsi="Times New Roman"/>
          <w:bCs/>
          <w:iCs/>
          <w:spacing w:val="5"/>
          <w:sz w:val="28"/>
        </w:rPr>
        <w:footnoteReference w:id="40"/>
      </w:r>
      <w:r w:rsidRPr="00030313">
        <w:rPr>
          <w:rFonts w:ascii="Times New Roman" w:hAnsi="Times New Roman"/>
          <w:bCs/>
          <w:iCs/>
          <w:spacing w:val="5"/>
          <w:sz w:val="28"/>
        </w:rPr>
        <w:t>:</w:t>
      </w:r>
      <w:r w:rsidRPr="00030313">
        <w:rPr>
          <w:rFonts w:ascii="Times New Roman" w:hAnsi="Times New Roman"/>
          <w:bCs/>
          <w:iCs/>
          <w:spacing w:val="5"/>
          <w:sz w:val="28"/>
        </w:rPr>
        <w:t xml:space="preserve"> </w:t>
      </w:r>
    </w:p>
    <w:p w:rsidR="00120C24" w:rsidRPr="00030313" w:rsidRDefault="00030313" w:rsidP="00C61937">
      <w:pPr>
        <w:jc w:val="both"/>
        <w:rPr>
          <w:rFonts w:ascii="Times New Roman" w:hAnsi="Times New Roman"/>
          <w:b/>
          <w:iCs/>
          <w:spacing w:val="5"/>
          <w:sz w:val="28"/>
        </w:rPr>
      </w:pPr>
    </w:p>
    <w:p w:rsidR="00120C24" w:rsidRPr="00030313" w:rsidRDefault="00030313" w:rsidP="00C61937">
      <w:pPr>
        <w:ind w:left="284" w:right="334"/>
        <w:jc w:val="both"/>
        <w:rPr>
          <w:rFonts w:ascii="Times New Roman" w:hAnsi="Times New Roman"/>
          <w:b/>
          <w:iCs/>
          <w:spacing w:val="5"/>
          <w:sz w:val="28"/>
        </w:rPr>
      </w:pPr>
      <w:r w:rsidRPr="00030313">
        <w:rPr>
          <w:rFonts w:ascii="Times New Roman" w:hAnsi="Times New Roman"/>
          <w:bCs/>
          <w:i/>
          <w:spacing w:val="5"/>
          <w:sz w:val="28"/>
        </w:rPr>
        <w:t>La jurisprudencia constitucional se ha referido a los destinatarios de estos mandatos usando una categoría genérica, la de sujetos de especial prot</w:t>
      </w:r>
      <w:r w:rsidRPr="00030313">
        <w:rPr>
          <w:rFonts w:ascii="Times New Roman" w:hAnsi="Times New Roman"/>
          <w:bCs/>
          <w:i/>
          <w:spacing w:val="5"/>
          <w:sz w:val="28"/>
        </w:rPr>
        <w:t>ección constitucional, y otras categorías especiales como las de grupos discriminados, grupos marginados y, recientemente, la de población vulnerable, que de conformidad con la jurisprudencia interamericana y de la Corte Constitucional comprende: las mujer</w:t>
      </w:r>
      <w:r w:rsidRPr="00030313">
        <w:rPr>
          <w:rFonts w:ascii="Times New Roman" w:hAnsi="Times New Roman"/>
          <w:bCs/>
          <w:i/>
          <w:spacing w:val="5"/>
          <w:sz w:val="28"/>
        </w:rPr>
        <w:t>es; las minorías sexuales; los defensores de derechos humanos; los niños; las niñas y adolescentes; las personas en situación de discapacidad; los pueblos indígenas; los migrantes; las personas privadas del a libertad; los periodistas; las personas en situ</w:t>
      </w:r>
      <w:r w:rsidRPr="00030313">
        <w:rPr>
          <w:rFonts w:ascii="Times New Roman" w:hAnsi="Times New Roman"/>
          <w:bCs/>
          <w:i/>
          <w:spacing w:val="5"/>
          <w:sz w:val="28"/>
        </w:rPr>
        <w:t>ación de pobreza y los trabajadores en condiciones de esclavitud moderna.</w:t>
      </w:r>
      <w:r w:rsidRPr="00030313">
        <w:rPr>
          <w:rFonts w:ascii="Times New Roman" w:hAnsi="Times New Roman"/>
          <w:bCs/>
          <w:iCs/>
          <w:spacing w:val="5"/>
          <w:sz w:val="28"/>
        </w:rPr>
        <w:t xml:space="preserve"> </w:t>
      </w:r>
    </w:p>
    <w:p w:rsidR="00120C24" w:rsidRPr="00030313" w:rsidRDefault="00030313" w:rsidP="00C61937">
      <w:pPr>
        <w:ind w:right="51"/>
        <w:jc w:val="both"/>
        <w:rPr>
          <w:rFonts w:ascii="Times New Roman" w:hAnsi="Times New Roman"/>
          <w:bCs/>
          <w:iCs/>
          <w:spacing w:val="5"/>
          <w:sz w:val="28"/>
        </w:rPr>
      </w:pPr>
    </w:p>
    <w:p w:rsidR="00120C24" w:rsidRPr="00030313" w:rsidRDefault="00030313" w:rsidP="00C61937">
      <w:pPr>
        <w:numPr>
          <w:ilvl w:val="0"/>
          <w:numId w:val="6"/>
        </w:numPr>
        <w:ind w:left="0" w:firstLine="0"/>
        <w:jc w:val="both"/>
        <w:rPr>
          <w:rFonts w:ascii="Times New Roman" w:hAnsi="Times New Roman"/>
          <w:b/>
          <w:iCs/>
          <w:spacing w:val="5"/>
          <w:sz w:val="28"/>
        </w:rPr>
      </w:pPr>
      <w:r w:rsidRPr="00030313">
        <w:rPr>
          <w:rFonts w:ascii="Times New Roman" w:hAnsi="Times New Roman"/>
          <w:bCs/>
          <w:iCs/>
          <w:spacing w:val="5"/>
          <w:sz w:val="28"/>
        </w:rPr>
        <w:t xml:space="preserve">Con relación a las personas mencionadas, bien indica el inciso 3 del artículo 13 de la Constitución que, dadas las desigualdades fácticas a las que se ven expuestos los sujetos de </w:t>
      </w:r>
      <w:r w:rsidRPr="00030313">
        <w:rPr>
          <w:rFonts w:ascii="Times New Roman" w:hAnsi="Times New Roman"/>
          <w:bCs/>
          <w:iCs/>
          <w:spacing w:val="5"/>
          <w:sz w:val="28"/>
        </w:rPr>
        <w:t>especial protección constitucional antes enunciados, el Estado tiene la obligación de diseñar políticas públicas y programas que apunten a disminuir las desigualdades materiales y adoptar medidas de acción afirmativas. Las medidas de acción afirmativa se r</w:t>
      </w:r>
      <w:r w:rsidRPr="00030313">
        <w:rPr>
          <w:rFonts w:ascii="Times New Roman" w:hAnsi="Times New Roman"/>
          <w:bCs/>
          <w:iCs/>
          <w:spacing w:val="5"/>
          <w:sz w:val="28"/>
        </w:rPr>
        <w:t>efieren a todas aquellas estrategias orientadas a establecer un trato desigual ventajoso que favorezca a los sujetos reseñados en el párrafo anterior, con el objetivo de materializar la igualdad sustancial del conglomerado social. Dichas medidas pueden ado</w:t>
      </w:r>
      <w:r w:rsidRPr="00030313">
        <w:rPr>
          <w:rFonts w:ascii="Times New Roman" w:hAnsi="Times New Roman"/>
          <w:bCs/>
          <w:iCs/>
          <w:spacing w:val="5"/>
          <w:sz w:val="28"/>
        </w:rPr>
        <w:t>ptarse a partir de cualquier disposición normativa, política pública o decisión judicial</w:t>
      </w:r>
      <w:r w:rsidRPr="00030313">
        <w:rPr>
          <w:rStyle w:val="Refdenotaalpie"/>
          <w:rFonts w:ascii="Times New Roman" w:hAnsi="Times New Roman"/>
          <w:bCs/>
          <w:iCs/>
          <w:spacing w:val="5"/>
          <w:sz w:val="28"/>
        </w:rPr>
        <w:footnoteReference w:id="41"/>
      </w:r>
      <w:r w:rsidRPr="00030313">
        <w:rPr>
          <w:rFonts w:ascii="Times New Roman" w:hAnsi="Times New Roman"/>
          <w:bCs/>
          <w:iCs/>
          <w:spacing w:val="5"/>
          <w:sz w:val="28"/>
        </w:rPr>
        <w:t>.</w:t>
      </w:r>
      <w:r w:rsidRPr="00030313">
        <w:rPr>
          <w:rFonts w:ascii="Times New Roman" w:hAnsi="Times New Roman"/>
          <w:bCs/>
          <w:iCs/>
          <w:spacing w:val="5"/>
          <w:sz w:val="28"/>
        </w:rPr>
        <w:t xml:space="preserve"> En suma, el derecho a la igualdad desde la faceta material, se opone a la premisa de un “igualitarismo jurídico”, pues se refiere a implementar medidas y ajustes que</w:t>
      </w:r>
      <w:r w:rsidRPr="00030313">
        <w:rPr>
          <w:rFonts w:ascii="Times New Roman" w:hAnsi="Times New Roman"/>
          <w:bCs/>
          <w:iCs/>
          <w:spacing w:val="5"/>
          <w:sz w:val="28"/>
        </w:rPr>
        <w:t xml:space="preserve"> permitan materializar la igualdad entre todos los sujetos, aun cuando existen diversas condiciones fácticas que, inicialmente, los ubican en una determinada desventaja con relación a otro grupo determinado de ciudadanos. </w:t>
      </w:r>
    </w:p>
    <w:p w:rsidR="00120C24" w:rsidRPr="00030313" w:rsidRDefault="00030313" w:rsidP="00C61937">
      <w:pPr>
        <w:jc w:val="both"/>
        <w:rPr>
          <w:rFonts w:ascii="Times New Roman" w:hAnsi="Times New Roman"/>
          <w:b/>
          <w:iCs/>
          <w:spacing w:val="5"/>
          <w:sz w:val="28"/>
        </w:rPr>
      </w:pPr>
    </w:p>
    <w:p w:rsidR="00120C24" w:rsidRPr="00030313" w:rsidRDefault="00030313" w:rsidP="00C61937">
      <w:pPr>
        <w:numPr>
          <w:ilvl w:val="0"/>
          <w:numId w:val="6"/>
        </w:numPr>
        <w:ind w:left="0" w:right="51" w:firstLine="0"/>
        <w:jc w:val="both"/>
        <w:rPr>
          <w:rFonts w:ascii="Times New Roman" w:hAnsi="Times New Roman"/>
          <w:bCs/>
          <w:iCs/>
          <w:spacing w:val="5"/>
          <w:sz w:val="28"/>
        </w:rPr>
      </w:pPr>
      <w:r w:rsidRPr="00030313">
        <w:rPr>
          <w:rFonts w:ascii="Times New Roman" w:hAnsi="Times New Roman"/>
          <w:b/>
          <w:i/>
          <w:spacing w:val="5"/>
          <w:sz w:val="28"/>
        </w:rPr>
        <w:t>La prohibición de discriminación</w:t>
      </w:r>
      <w:r w:rsidRPr="00030313">
        <w:rPr>
          <w:rFonts w:ascii="Times New Roman" w:hAnsi="Times New Roman"/>
          <w:b/>
          <w:i/>
          <w:spacing w:val="5"/>
          <w:sz w:val="28"/>
        </w:rPr>
        <w:t xml:space="preserve">. </w:t>
      </w:r>
      <w:r w:rsidRPr="00030313">
        <w:rPr>
          <w:rFonts w:ascii="Times New Roman" w:hAnsi="Times New Roman"/>
          <w:bCs/>
          <w:iCs/>
          <w:spacing w:val="5"/>
          <w:sz w:val="28"/>
        </w:rPr>
        <w:t>La prohibición de discriminación “</w:t>
      </w:r>
      <w:r w:rsidRPr="00030313">
        <w:rPr>
          <w:rFonts w:ascii="Times New Roman" w:hAnsi="Times New Roman"/>
          <w:bCs/>
          <w:i/>
          <w:spacing w:val="5"/>
          <w:sz w:val="28"/>
        </w:rPr>
        <w:t>excluye la legitimidad constitucional de cualquier acto (no solo leyes) que involucre una distinción basada en motivos definidos como prohibidos por la Constitución Política, el derecho internacional de los derechos huma</w:t>
      </w:r>
      <w:r w:rsidRPr="00030313">
        <w:rPr>
          <w:rFonts w:ascii="Times New Roman" w:hAnsi="Times New Roman"/>
          <w:bCs/>
          <w:i/>
          <w:spacing w:val="5"/>
          <w:sz w:val="28"/>
        </w:rPr>
        <w:t>nos, o bien, la prohibición de distinciones irrazonables”</w:t>
      </w:r>
      <w:r w:rsidRPr="00030313">
        <w:rPr>
          <w:rStyle w:val="Refdenotaalpie"/>
          <w:rFonts w:ascii="Times New Roman" w:hAnsi="Times New Roman"/>
          <w:bCs/>
          <w:iCs/>
          <w:spacing w:val="5"/>
          <w:sz w:val="28"/>
        </w:rPr>
        <w:footnoteReference w:id="42"/>
      </w:r>
      <w:r w:rsidRPr="00030313">
        <w:rPr>
          <w:rFonts w:ascii="Times New Roman" w:hAnsi="Times New Roman"/>
          <w:bCs/>
          <w:i/>
          <w:spacing w:val="5"/>
          <w:sz w:val="28"/>
        </w:rPr>
        <w:t>.</w:t>
      </w:r>
      <w:r w:rsidRPr="00030313">
        <w:rPr>
          <w:rFonts w:ascii="Times New Roman" w:hAnsi="Times New Roman"/>
          <w:bCs/>
          <w:i/>
          <w:spacing w:val="5"/>
          <w:sz w:val="28"/>
        </w:rPr>
        <w:t xml:space="preserve"> </w:t>
      </w:r>
      <w:r w:rsidRPr="00030313">
        <w:rPr>
          <w:rFonts w:ascii="Times New Roman" w:hAnsi="Times New Roman"/>
          <w:bCs/>
          <w:iCs/>
          <w:spacing w:val="5"/>
          <w:sz w:val="28"/>
        </w:rPr>
        <w:t>Puntualmente, el artículo 13 de la Constitución prohíbe la introducción de diferencias de trato que impliquen la vulneración de derechos fundamentales, con lo cual no es posible aplicar un trato d</w:t>
      </w:r>
      <w:r w:rsidRPr="00030313">
        <w:rPr>
          <w:rFonts w:ascii="Times New Roman" w:hAnsi="Times New Roman"/>
          <w:bCs/>
          <w:iCs/>
          <w:spacing w:val="5"/>
          <w:sz w:val="28"/>
        </w:rPr>
        <w:t>iferente a partir de criterios sospechosos de discriminación, basados en razones de sexo, origen étnico, raza, identidad de género, religión y opinión política, entre otros motivos</w:t>
      </w:r>
      <w:r w:rsidRPr="00030313">
        <w:rPr>
          <w:rStyle w:val="Refdenotaalpie"/>
          <w:rFonts w:ascii="Times New Roman" w:hAnsi="Times New Roman"/>
          <w:bCs/>
          <w:iCs/>
          <w:spacing w:val="5"/>
          <w:sz w:val="28"/>
        </w:rPr>
        <w:footnoteReference w:id="43"/>
      </w:r>
      <w:r w:rsidRPr="00030313">
        <w:rPr>
          <w:rFonts w:ascii="Times New Roman" w:hAnsi="Times New Roman"/>
          <w:bCs/>
          <w:iCs/>
          <w:spacing w:val="5"/>
          <w:sz w:val="28"/>
        </w:rPr>
        <w:t>.</w:t>
      </w:r>
      <w:r w:rsidRPr="00030313">
        <w:rPr>
          <w:rFonts w:ascii="Times New Roman" w:hAnsi="Times New Roman"/>
          <w:bCs/>
          <w:iCs/>
          <w:spacing w:val="5"/>
          <w:sz w:val="28"/>
        </w:rPr>
        <w:t xml:space="preserve"> En hilo con lo anterior, la Corte Interamericana de Derechos Humanos ha d</w:t>
      </w:r>
      <w:r w:rsidRPr="00030313">
        <w:rPr>
          <w:rFonts w:ascii="Times New Roman" w:hAnsi="Times New Roman"/>
          <w:bCs/>
          <w:iCs/>
          <w:spacing w:val="5"/>
          <w:sz w:val="28"/>
        </w:rPr>
        <w:t>ispuesto lo siguiente sobre la materia en cuestión</w:t>
      </w:r>
      <w:r w:rsidRPr="00030313">
        <w:rPr>
          <w:rStyle w:val="Refdenotaalpie"/>
          <w:rFonts w:ascii="Times New Roman" w:hAnsi="Times New Roman"/>
          <w:bCs/>
          <w:iCs/>
          <w:spacing w:val="5"/>
          <w:sz w:val="28"/>
        </w:rPr>
        <w:footnoteReference w:id="44"/>
      </w:r>
      <w:r w:rsidRPr="00030313">
        <w:rPr>
          <w:rFonts w:ascii="Times New Roman" w:hAnsi="Times New Roman"/>
          <w:bCs/>
          <w:iCs/>
          <w:spacing w:val="5"/>
          <w:sz w:val="28"/>
        </w:rPr>
        <w:t>:</w:t>
      </w:r>
    </w:p>
    <w:p w:rsidR="00120C24" w:rsidRPr="00030313" w:rsidRDefault="00030313" w:rsidP="00C61937">
      <w:pPr>
        <w:ind w:left="284" w:right="334"/>
        <w:jc w:val="both"/>
        <w:rPr>
          <w:rFonts w:ascii="Times New Roman" w:hAnsi="Times New Roman"/>
          <w:b/>
          <w:i/>
          <w:spacing w:val="5"/>
          <w:sz w:val="28"/>
          <w:szCs w:val="24"/>
        </w:rPr>
      </w:pPr>
    </w:p>
    <w:p w:rsidR="00120C24" w:rsidRPr="00030313" w:rsidRDefault="00030313" w:rsidP="00C61937">
      <w:pPr>
        <w:ind w:left="284" w:right="334"/>
        <w:jc w:val="both"/>
        <w:rPr>
          <w:rFonts w:ascii="Times New Roman" w:hAnsi="Times New Roman"/>
          <w:bCs/>
          <w:i/>
          <w:spacing w:val="5"/>
          <w:sz w:val="28"/>
        </w:rPr>
      </w:pPr>
      <w:r w:rsidRPr="00030313">
        <w:rPr>
          <w:rFonts w:ascii="Times New Roman" w:hAnsi="Times New Roman"/>
          <w:bCs/>
          <w:i/>
          <w:spacing w:val="5"/>
          <w:sz w:val="28"/>
        </w:rPr>
        <w:t>[N]o toda diferencia de trato será reputada discriminatoria, sino sólo aquella que se base en criterios que no puedan ser racionalmente apreciados como objetivos y razonables158, es decir, cuando no persigue un fin legítimo y no existe una relación razonab</w:t>
      </w:r>
      <w:r w:rsidRPr="00030313">
        <w:rPr>
          <w:rFonts w:ascii="Times New Roman" w:hAnsi="Times New Roman"/>
          <w:bCs/>
          <w:i/>
          <w:spacing w:val="5"/>
          <w:sz w:val="28"/>
        </w:rPr>
        <w:t>le de proporcionalidad entre los medios utilizados y el fin perseguido159. Asimismo, en casos de tratos diferentes desfavorables, cuando el criterio diferenciador se corresponde con uno de aquellos protegidos por el artículo 1.1 de la Convención que aluden</w:t>
      </w:r>
      <w:r w:rsidRPr="00030313">
        <w:rPr>
          <w:rFonts w:ascii="Times New Roman" w:hAnsi="Times New Roman"/>
          <w:bCs/>
          <w:i/>
          <w:spacing w:val="5"/>
          <w:sz w:val="28"/>
        </w:rPr>
        <w:t xml:space="preserve"> a: i) rasgos permanentes de las personas de los cuales éstas no pueden prescindir sin perder su identidad; ii) grupos tradicionalmente marginados, excluidos o subordinados, y iii) criterios irrelevantes para una distribución equitativa de bienes, derechos</w:t>
      </w:r>
      <w:r w:rsidRPr="00030313">
        <w:rPr>
          <w:rFonts w:ascii="Times New Roman" w:hAnsi="Times New Roman"/>
          <w:bCs/>
          <w:i/>
          <w:spacing w:val="5"/>
          <w:sz w:val="28"/>
        </w:rPr>
        <w:t xml:space="preserve"> o cargas sociales, la Corte se encuentra ante un indicio de que el Estado ha obrado con arbitrariedad.</w:t>
      </w:r>
    </w:p>
    <w:p w:rsidR="00120C24" w:rsidRPr="00030313" w:rsidRDefault="00030313" w:rsidP="00C61937">
      <w:pPr>
        <w:ind w:left="284" w:right="334"/>
        <w:jc w:val="both"/>
        <w:rPr>
          <w:rFonts w:ascii="Times New Roman" w:hAnsi="Times New Roman"/>
          <w:bCs/>
          <w:i/>
          <w:spacing w:val="5"/>
          <w:sz w:val="28"/>
        </w:rPr>
      </w:pPr>
    </w:p>
    <w:p w:rsidR="00120C24" w:rsidRPr="00030313" w:rsidRDefault="00030313" w:rsidP="00C61937">
      <w:pPr>
        <w:ind w:left="284" w:right="334"/>
        <w:jc w:val="both"/>
        <w:rPr>
          <w:rFonts w:ascii="Times New Roman" w:hAnsi="Times New Roman"/>
          <w:bCs/>
          <w:i/>
          <w:spacing w:val="5"/>
          <w:sz w:val="28"/>
        </w:rPr>
      </w:pPr>
      <w:r w:rsidRPr="00030313">
        <w:rPr>
          <w:rFonts w:ascii="Times New Roman" w:hAnsi="Times New Roman"/>
          <w:bCs/>
          <w:i/>
          <w:spacing w:val="5"/>
          <w:sz w:val="28"/>
        </w:rPr>
        <w:t>La Corte ha establecido, además, que los criterios específicos en virtud de los cuales está prohibido discriminar, según el artículo 1.1 de la Convenci</w:t>
      </w:r>
      <w:r w:rsidRPr="00030313">
        <w:rPr>
          <w:rFonts w:ascii="Times New Roman" w:hAnsi="Times New Roman"/>
          <w:bCs/>
          <w:i/>
          <w:spacing w:val="5"/>
          <w:sz w:val="28"/>
        </w:rPr>
        <w:t>ón Americana, no constituyen un listado taxativo o limitativo sino meramente enunciativo161. De este modo, la Corte estima que la redacción de dicho artículo deja abiertos los criterios con la inclusión del término “otra condición social” para incorporar a</w:t>
      </w:r>
      <w:r w:rsidRPr="00030313">
        <w:rPr>
          <w:rFonts w:ascii="Times New Roman" w:hAnsi="Times New Roman"/>
          <w:bCs/>
          <w:i/>
          <w:spacing w:val="5"/>
          <w:sz w:val="28"/>
        </w:rPr>
        <w:t>sí a otras categorías que no hubiesen sido explícitamente indicadas, pero que tengan una entidad asimilable162. En tal virtud, al momento de interpretar dicho término, corresponde escoger la alternativa hermenéutica más favorable a la tutela de los derecho</w:t>
      </w:r>
      <w:r w:rsidRPr="00030313">
        <w:rPr>
          <w:rFonts w:ascii="Times New Roman" w:hAnsi="Times New Roman"/>
          <w:bCs/>
          <w:i/>
          <w:spacing w:val="5"/>
          <w:sz w:val="28"/>
        </w:rPr>
        <w:t xml:space="preserve">s de la persona humana, conforme a la aplicación del principio pro persona. </w:t>
      </w:r>
    </w:p>
    <w:p w:rsidR="00120C24" w:rsidRPr="00030313" w:rsidRDefault="00030313" w:rsidP="00C61937">
      <w:pPr>
        <w:ind w:right="51"/>
        <w:jc w:val="both"/>
        <w:rPr>
          <w:rFonts w:ascii="Times New Roman" w:hAnsi="Times New Roman"/>
          <w:bCs/>
          <w:iCs/>
          <w:spacing w:val="5"/>
          <w:sz w:val="28"/>
        </w:rPr>
      </w:pPr>
    </w:p>
    <w:p w:rsidR="00120C24" w:rsidRPr="00030313" w:rsidRDefault="00030313" w:rsidP="00C61937">
      <w:pPr>
        <w:numPr>
          <w:ilvl w:val="0"/>
          <w:numId w:val="6"/>
        </w:numPr>
        <w:ind w:left="0" w:right="51" w:firstLine="0"/>
        <w:jc w:val="both"/>
        <w:rPr>
          <w:rFonts w:ascii="Times New Roman" w:hAnsi="Times New Roman"/>
          <w:bCs/>
          <w:iCs/>
          <w:spacing w:val="5"/>
          <w:sz w:val="28"/>
        </w:rPr>
      </w:pPr>
      <w:r w:rsidRPr="00030313">
        <w:rPr>
          <w:rFonts w:ascii="Times New Roman" w:hAnsi="Times New Roman"/>
          <w:bCs/>
          <w:iCs/>
          <w:spacing w:val="5"/>
          <w:sz w:val="28"/>
        </w:rPr>
        <w:t>Conforme a lo señalado, la lista de criterios sospechosos no es, de ninguna manera, taxativa y acotada. Por el contrario, caso a caso se deberá examinar si las razones por las cu</w:t>
      </w:r>
      <w:r w:rsidRPr="00030313">
        <w:rPr>
          <w:rFonts w:ascii="Times New Roman" w:hAnsi="Times New Roman"/>
          <w:bCs/>
          <w:iCs/>
          <w:spacing w:val="5"/>
          <w:sz w:val="28"/>
        </w:rPr>
        <w:t>ales se impartió un trato diferenciado o discriminatorio a un determinado sujeto, responde, de forma contextual, a un típico caso de discriminación basado en alguna de las categorías enunciadas, o en otras adicionales. Al tenor de todo lo expuesto, están p</w:t>
      </w:r>
      <w:r w:rsidRPr="00030313">
        <w:rPr>
          <w:rFonts w:ascii="Times New Roman" w:hAnsi="Times New Roman"/>
          <w:bCs/>
          <w:iCs/>
          <w:spacing w:val="5"/>
          <w:sz w:val="28"/>
        </w:rPr>
        <w:t xml:space="preserve">rohibidas las distinciones que impliquen un trato diferenciado no justificado y que tengan la capacidad de generar daños o efectos adversos para los destinatarios de las normas. </w:t>
      </w:r>
    </w:p>
    <w:p w:rsidR="00120C24" w:rsidRPr="00030313" w:rsidRDefault="00030313" w:rsidP="00C61937">
      <w:pPr>
        <w:ind w:right="51"/>
        <w:jc w:val="both"/>
        <w:rPr>
          <w:rFonts w:ascii="Times New Roman" w:hAnsi="Times New Roman"/>
          <w:bCs/>
          <w:iCs/>
          <w:spacing w:val="5"/>
          <w:sz w:val="28"/>
        </w:rPr>
      </w:pPr>
    </w:p>
    <w:p w:rsidR="00120C24" w:rsidRPr="00030313" w:rsidRDefault="00030313" w:rsidP="00C61937">
      <w:pPr>
        <w:numPr>
          <w:ilvl w:val="0"/>
          <w:numId w:val="6"/>
        </w:numPr>
        <w:ind w:left="0" w:right="51" w:firstLine="0"/>
        <w:jc w:val="both"/>
        <w:rPr>
          <w:rFonts w:ascii="Times New Roman" w:hAnsi="Times New Roman"/>
          <w:bCs/>
          <w:iCs/>
          <w:spacing w:val="5"/>
          <w:sz w:val="28"/>
        </w:rPr>
      </w:pPr>
      <w:r w:rsidRPr="00030313">
        <w:rPr>
          <w:rFonts w:ascii="Times New Roman" w:hAnsi="Times New Roman"/>
          <w:bCs/>
          <w:iCs/>
          <w:spacing w:val="5"/>
          <w:sz w:val="28"/>
        </w:rPr>
        <w:t>Aunado a lo anterior, la jurisprudencia constitucional ha reiterado que el p</w:t>
      </w:r>
      <w:r w:rsidRPr="00030313">
        <w:rPr>
          <w:rFonts w:ascii="Times New Roman" w:hAnsi="Times New Roman"/>
          <w:bCs/>
          <w:iCs/>
          <w:spacing w:val="5"/>
          <w:sz w:val="28"/>
        </w:rPr>
        <w:t>rincipal rasgo del derecho a la igualdad es su carácter relacional, lo cual significa que</w:t>
      </w:r>
      <w:r w:rsidRPr="00030313">
        <w:rPr>
          <w:rStyle w:val="Refdenotaalpie"/>
          <w:rFonts w:ascii="Times New Roman" w:hAnsi="Times New Roman"/>
          <w:bCs/>
          <w:iCs/>
          <w:spacing w:val="5"/>
          <w:sz w:val="28"/>
        </w:rPr>
        <w:footnoteReference w:id="45"/>
      </w:r>
      <w:r w:rsidRPr="00030313">
        <w:rPr>
          <w:rFonts w:ascii="Times New Roman" w:hAnsi="Times New Roman"/>
          <w:bCs/>
          <w:iCs/>
          <w:spacing w:val="5"/>
          <w:sz w:val="28"/>
        </w:rPr>
        <w:t>:</w:t>
      </w:r>
    </w:p>
    <w:p w:rsidR="00120C24" w:rsidRPr="00030313" w:rsidRDefault="00030313" w:rsidP="00C61937">
      <w:pPr>
        <w:ind w:right="51"/>
        <w:jc w:val="both"/>
        <w:rPr>
          <w:rFonts w:ascii="Times New Roman" w:hAnsi="Times New Roman"/>
          <w:bCs/>
          <w:iCs/>
          <w:spacing w:val="5"/>
          <w:sz w:val="28"/>
        </w:rPr>
      </w:pPr>
    </w:p>
    <w:p w:rsidR="00120C24" w:rsidRPr="00030313" w:rsidRDefault="00030313" w:rsidP="00C61937">
      <w:pPr>
        <w:ind w:left="284" w:right="334"/>
        <w:jc w:val="both"/>
        <w:rPr>
          <w:rFonts w:ascii="Times New Roman" w:hAnsi="Times New Roman"/>
          <w:bCs/>
          <w:iCs/>
          <w:spacing w:val="5"/>
          <w:sz w:val="28"/>
        </w:rPr>
      </w:pPr>
      <w:r w:rsidRPr="00030313">
        <w:rPr>
          <w:rFonts w:ascii="Times New Roman" w:hAnsi="Times New Roman"/>
          <w:bCs/>
          <w:i/>
          <w:spacing w:val="5"/>
          <w:sz w:val="28"/>
        </w:rPr>
        <w:t>[D]eben establecerse dos grupos o situaciones de hecho susceptibles de ser contrastadas, antes de iniciar un examen de adecuación entre las normas legales y ese pr</w:t>
      </w:r>
      <w:r w:rsidRPr="00030313">
        <w:rPr>
          <w:rFonts w:ascii="Times New Roman" w:hAnsi="Times New Roman"/>
          <w:bCs/>
          <w:i/>
          <w:spacing w:val="5"/>
          <w:sz w:val="28"/>
        </w:rPr>
        <w:t>incipio. Además, debe determinarse si esos grupos o situaciones se encuentran en situación de igualdad o desigualdad desde un punto de vista fáctico, para esclarecer si el Legislador debía aplicar idénticas consecuencias normativas, o si se hallaba faculta</w:t>
      </w:r>
      <w:r w:rsidRPr="00030313">
        <w:rPr>
          <w:rFonts w:ascii="Times New Roman" w:hAnsi="Times New Roman"/>
          <w:bCs/>
          <w:i/>
          <w:spacing w:val="5"/>
          <w:sz w:val="28"/>
        </w:rPr>
        <w:t>do para dar un trato distinto a ambos grupos; en tercer término, debe definirse un criterio de comparación que permita analizar esas diferencias o similitudes fácticas a la luz del sistema normativo vigente; y, finalmente, debe constatarse si (i) un tratam</w:t>
      </w:r>
      <w:r w:rsidRPr="00030313">
        <w:rPr>
          <w:rFonts w:ascii="Times New Roman" w:hAnsi="Times New Roman"/>
          <w:bCs/>
          <w:i/>
          <w:spacing w:val="5"/>
          <w:sz w:val="28"/>
        </w:rPr>
        <w:t xml:space="preserve">iento distinto entre iguales o (ii) un tratamiento igual entre desiguales es razonable. Es decir, si persigue un fin constitucionalmente legítimo y no restringe en exceso los derechos de uno de los grupos en comparación. </w:t>
      </w:r>
    </w:p>
    <w:p w:rsidR="00120C24" w:rsidRPr="00030313" w:rsidRDefault="00030313" w:rsidP="00C61937">
      <w:pPr>
        <w:ind w:right="51"/>
        <w:jc w:val="both"/>
        <w:rPr>
          <w:rFonts w:ascii="Times New Roman" w:hAnsi="Times New Roman"/>
          <w:bCs/>
          <w:iCs/>
          <w:spacing w:val="5"/>
          <w:sz w:val="28"/>
        </w:rPr>
      </w:pPr>
    </w:p>
    <w:p w:rsidR="00120C24" w:rsidRPr="00030313" w:rsidRDefault="00030313" w:rsidP="00C61937">
      <w:pPr>
        <w:numPr>
          <w:ilvl w:val="0"/>
          <w:numId w:val="6"/>
        </w:numPr>
        <w:ind w:left="0" w:right="51" w:firstLine="0"/>
        <w:jc w:val="both"/>
        <w:rPr>
          <w:rFonts w:ascii="Times New Roman" w:hAnsi="Times New Roman"/>
          <w:bCs/>
          <w:iCs/>
          <w:spacing w:val="5"/>
          <w:sz w:val="28"/>
        </w:rPr>
      </w:pPr>
      <w:r w:rsidRPr="00030313">
        <w:rPr>
          <w:rFonts w:ascii="Times New Roman" w:hAnsi="Times New Roman"/>
          <w:bCs/>
          <w:iCs/>
          <w:spacing w:val="5"/>
          <w:sz w:val="28"/>
        </w:rPr>
        <w:t xml:space="preserve">En los términos expuestos, verificar la garantía del derecho a la igualdad implica examinar, caso a caso, </w:t>
      </w:r>
      <w:r w:rsidRPr="00030313">
        <w:rPr>
          <w:rFonts w:ascii="Times New Roman" w:hAnsi="Times New Roman"/>
          <w:bCs/>
          <w:i/>
          <w:spacing w:val="5"/>
          <w:sz w:val="28"/>
        </w:rPr>
        <w:t xml:space="preserve">(i) </w:t>
      </w:r>
      <w:r w:rsidRPr="00030313">
        <w:rPr>
          <w:rFonts w:ascii="Times New Roman" w:hAnsi="Times New Roman"/>
          <w:bCs/>
          <w:iCs/>
          <w:spacing w:val="5"/>
          <w:sz w:val="28"/>
        </w:rPr>
        <w:t xml:space="preserve">las particularidades del sujeto, </w:t>
      </w:r>
      <w:r w:rsidRPr="00030313">
        <w:rPr>
          <w:rFonts w:ascii="Times New Roman" w:hAnsi="Times New Roman"/>
          <w:bCs/>
          <w:i/>
          <w:spacing w:val="5"/>
          <w:sz w:val="28"/>
        </w:rPr>
        <w:t>(ii)</w:t>
      </w:r>
      <w:r w:rsidRPr="00030313">
        <w:rPr>
          <w:rFonts w:ascii="Times New Roman" w:hAnsi="Times New Roman"/>
          <w:bCs/>
          <w:iCs/>
          <w:spacing w:val="5"/>
          <w:sz w:val="28"/>
        </w:rPr>
        <w:t xml:space="preserve"> el contexto de aplicación de la norma, </w:t>
      </w:r>
      <w:r w:rsidRPr="00030313">
        <w:rPr>
          <w:rFonts w:ascii="Times New Roman" w:hAnsi="Times New Roman"/>
          <w:bCs/>
          <w:i/>
          <w:spacing w:val="5"/>
          <w:sz w:val="28"/>
        </w:rPr>
        <w:t>(iii)</w:t>
      </w:r>
      <w:r w:rsidRPr="00030313">
        <w:rPr>
          <w:rFonts w:ascii="Times New Roman" w:hAnsi="Times New Roman"/>
          <w:bCs/>
          <w:iCs/>
          <w:spacing w:val="5"/>
          <w:sz w:val="28"/>
        </w:rPr>
        <w:t xml:space="preserve"> el criterio diferenciador y </w:t>
      </w:r>
      <w:r w:rsidRPr="00030313">
        <w:rPr>
          <w:rFonts w:ascii="Times New Roman" w:hAnsi="Times New Roman"/>
          <w:bCs/>
          <w:i/>
          <w:spacing w:val="5"/>
          <w:sz w:val="28"/>
        </w:rPr>
        <w:t>(iv)</w:t>
      </w:r>
      <w:r w:rsidRPr="00030313">
        <w:rPr>
          <w:rFonts w:ascii="Times New Roman" w:hAnsi="Times New Roman"/>
          <w:bCs/>
          <w:iCs/>
          <w:spacing w:val="5"/>
          <w:sz w:val="28"/>
        </w:rPr>
        <w:t xml:space="preserve"> el sector poblacional con resp</w:t>
      </w:r>
      <w:r w:rsidRPr="00030313">
        <w:rPr>
          <w:rFonts w:ascii="Times New Roman" w:hAnsi="Times New Roman"/>
          <w:bCs/>
          <w:iCs/>
          <w:spacing w:val="5"/>
          <w:sz w:val="28"/>
        </w:rPr>
        <w:t xml:space="preserve">ecto al cual, presuntamente, se le está brindado un trato diferenciado de forma injustificada, con el fin de observar este principio desde su naturaleza relacional. </w:t>
      </w:r>
    </w:p>
    <w:p w:rsidR="00120C24" w:rsidRPr="00030313" w:rsidRDefault="00030313" w:rsidP="00C61937">
      <w:pPr>
        <w:jc w:val="both"/>
        <w:rPr>
          <w:rFonts w:ascii="Times New Roman" w:hAnsi="Times New Roman"/>
          <w:b/>
          <w:iCs/>
          <w:spacing w:val="5"/>
          <w:sz w:val="28"/>
        </w:rPr>
      </w:pPr>
    </w:p>
    <w:p w:rsidR="00C36B4C" w:rsidRPr="00030313" w:rsidRDefault="00030313" w:rsidP="00C61937">
      <w:pPr>
        <w:jc w:val="both"/>
        <w:rPr>
          <w:rFonts w:ascii="Times New Roman" w:hAnsi="Times New Roman"/>
          <w:b/>
          <w:iCs/>
          <w:spacing w:val="5"/>
          <w:sz w:val="28"/>
        </w:rPr>
      </w:pPr>
    </w:p>
    <w:p w:rsidR="00C36B4C" w:rsidRPr="00030313" w:rsidRDefault="00030313" w:rsidP="00C61937">
      <w:pPr>
        <w:pStyle w:val="Ttulo2"/>
        <w:numPr>
          <w:ilvl w:val="1"/>
          <w:numId w:val="8"/>
        </w:numPr>
        <w:jc w:val="both"/>
        <w:rPr>
          <w:rFonts w:ascii="Times New Roman" w:hAnsi="Times New Roman"/>
          <w:sz w:val="28"/>
        </w:rPr>
      </w:pPr>
      <w:bookmarkStart w:id="14" w:name="_Toc183628564"/>
      <w:r w:rsidRPr="00030313">
        <w:rPr>
          <w:rFonts w:ascii="Times New Roman" w:hAnsi="Times New Roman"/>
          <w:sz w:val="28"/>
        </w:rPr>
        <w:t xml:space="preserve">. </w:t>
      </w:r>
      <w:r w:rsidRPr="00030313">
        <w:rPr>
          <w:rFonts w:ascii="Times New Roman" w:hAnsi="Times New Roman"/>
          <w:sz w:val="28"/>
        </w:rPr>
        <w:t>L</w:t>
      </w:r>
      <w:r w:rsidRPr="00030313">
        <w:rPr>
          <w:rFonts w:ascii="Times New Roman" w:hAnsi="Times New Roman"/>
          <w:sz w:val="28"/>
        </w:rPr>
        <w:t>a</w:t>
      </w:r>
      <w:r w:rsidRPr="00030313">
        <w:rPr>
          <w:rFonts w:ascii="Times New Roman" w:hAnsi="Times New Roman"/>
          <w:sz w:val="28"/>
        </w:rPr>
        <w:t xml:space="preserve"> identidad de género </w:t>
      </w:r>
      <w:r w:rsidRPr="00030313">
        <w:rPr>
          <w:rFonts w:ascii="Times New Roman" w:hAnsi="Times New Roman"/>
          <w:sz w:val="28"/>
        </w:rPr>
        <w:t xml:space="preserve">en la jurisprudencia constitucional y </w:t>
      </w:r>
      <w:r w:rsidRPr="00030313">
        <w:rPr>
          <w:rFonts w:ascii="Times New Roman" w:hAnsi="Times New Roman"/>
          <w:sz w:val="28"/>
        </w:rPr>
        <w:t>su relación con el</w:t>
      </w:r>
      <w:r w:rsidRPr="00030313">
        <w:rPr>
          <w:rFonts w:ascii="Times New Roman" w:hAnsi="Times New Roman"/>
          <w:sz w:val="28"/>
        </w:rPr>
        <w:t xml:space="preserve"> derech</w:t>
      </w:r>
      <w:r w:rsidRPr="00030313">
        <w:rPr>
          <w:rFonts w:ascii="Times New Roman" w:hAnsi="Times New Roman"/>
          <w:sz w:val="28"/>
        </w:rPr>
        <w:t>o al</w:t>
      </w:r>
      <w:r w:rsidRPr="00030313">
        <w:rPr>
          <w:rFonts w:ascii="Times New Roman" w:hAnsi="Times New Roman"/>
          <w:sz w:val="28"/>
        </w:rPr>
        <w:t xml:space="preserve"> libre desarrollo de la personalidad</w:t>
      </w:r>
      <w:bookmarkEnd w:id="14"/>
    </w:p>
    <w:p w:rsidR="00594C15" w:rsidRPr="00030313" w:rsidRDefault="00030313" w:rsidP="00C61937">
      <w:pPr>
        <w:jc w:val="both"/>
        <w:rPr>
          <w:rFonts w:ascii="Times New Roman" w:hAnsi="Times New Roman"/>
          <w:b/>
          <w:iCs/>
          <w:spacing w:val="5"/>
          <w:sz w:val="28"/>
        </w:rPr>
      </w:pPr>
    </w:p>
    <w:p w:rsidR="00E27CA6" w:rsidRPr="00030313" w:rsidRDefault="00030313" w:rsidP="00C61937">
      <w:pPr>
        <w:pStyle w:val="Prrafodelista"/>
        <w:numPr>
          <w:ilvl w:val="0"/>
          <w:numId w:val="6"/>
        </w:numPr>
        <w:ind w:left="0" w:firstLine="0"/>
        <w:jc w:val="both"/>
        <w:rPr>
          <w:rFonts w:ascii="Times New Roman" w:hAnsi="Times New Roman"/>
          <w:b/>
          <w:iCs/>
          <w:spacing w:val="5"/>
          <w:sz w:val="28"/>
        </w:rPr>
      </w:pPr>
      <w:r w:rsidRPr="00030313">
        <w:rPr>
          <w:rFonts w:ascii="Times New Roman" w:hAnsi="Times New Roman"/>
          <w:sz w:val="28"/>
        </w:rPr>
        <w:t>El derecho a la identidad de género no se encuentra expresamente consagrado en la Constitución Política. Sin embargo, el desarrollo jurisprudencial en torno a este asunto ha sido vasto por parte de la Corte Constitucional. Desde los albores de la Sentencia</w:t>
      </w:r>
      <w:r w:rsidRPr="00030313">
        <w:rPr>
          <w:rFonts w:ascii="Times New Roman" w:hAnsi="Times New Roman"/>
          <w:sz w:val="28"/>
        </w:rPr>
        <w:t xml:space="preserve"> T-447 de 1995 y luego con la Sentencia SU-337 de 1999, esta Corporación hizo referencia a la identidad de género y comprendió el impacto que tendría la clasificación estática de las categorías</w:t>
      </w:r>
      <w:r w:rsidRPr="00030313">
        <w:rPr>
          <w:rFonts w:ascii="Times New Roman" w:hAnsi="Times New Roman"/>
          <w:bCs/>
          <w:iCs/>
          <w:spacing w:val="5"/>
          <w:sz w:val="28"/>
        </w:rPr>
        <w:t xml:space="preserve"> </w:t>
      </w:r>
      <w:r w:rsidRPr="00030313">
        <w:rPr>
          <w:rFonts w:ascii="Times New Roman" w:hAnsi="Times New Roman"/>
          <w:sz w:val="28"/>
        </w:rPr>
        <w:t>clásicas heteronormativas para efectos de garantizarle a las p</w:t>
      </w:r>
      <w:r w:rsidRPr="00030313">
        <w:rPr>
          <w:rFonts w:ascii="Times New Roman" w:hAnsi="Times New Roman"/>
          <w:sz w:val="28"/>
        </w:rPr>
        <w:t>ersonas el poder identificar su género de forma autónoma respecto de su sexo. En un comienzo, la Corte entendió que</w:t>
      </w:r>
      <w:r w:rsidRPr="00030313">
        <w:rPr>
          <w:rStyle w:val="Refdenotaalpie"/>
          <w:rFonts w:ascii="Times New Roman" w:hAnsi="Times New Roman"/>
          <w:bCs/>
          <w:iCs/>
          <w:spacing w:val="5"/>
          <w:sz w:val="28"/>
        </w:rPr>
        <w:footnoteReference w:id="46"/>
      </w:r>
      <w:r w:rsidRPr="00030313">
        <w:rPr>
          <w:rFonts w:ascii="Times New Roman" w:hAnsi="Times New Roman"/>
          <w:sz w:val="28"/>
        </w:rPr>
        <w:t>:</w:t>
      </w:r>
    </w:p>
    <w:p w:rsidR="00E27CA6" w:rsidRPr="00030313" w:rsidRDefault="00030313" w:rsidP="00C61937">
      <w:pPr>
        <w:jc w:val="both"/>
        <w:rPr>
          <w:rFonts w:ascii="Times New Roman" w:hAnsi="Times New Roman"/>
          <w:b/>
          <w:iCs/>
          <w:spacing w:val="5"/>
          <w:sz w:val="28"/>
        </w:rPr>
      </w:pPr>
    </w:p>
    <w:p w:rsidR="00E27CA6" w:rsidRPr="00030313" w:rsidRDefault="00030313" w:rsidP="00C61937">
      <w:pPr>
        <w:ind w:left="284" w:right="334"/>
        <w:jc w:val="both"/>
        <w:rPr>
          <w:rFonts w:ascii="Times New Roman" w:hAnsi="Times New Roman"/>
          <w:b/>
          <w:iCs/>
          <w:spacing w:val="5"/>
          <w:sz w:val="28"/>
        </w:rPr>
      </w:pPr>
      <w:r w:rsidRPr="00030313">
        <w:rPr>
          <w:rFonts w:ascii="Times New Roman" w:hAnsi="Times New Roman"/>
          <w:bCs/>
          <w:i/>
          <w:spacing w:val="5"/>
          <w:sz w:val="28"/>
        </w:rPr>
        <w:t>[D]esde el punto de vista social, la sexualidad hace referencia a los diversos papeles que los patrones socio-culturales existentes asign</w:t>
      </w:r>
      <w:r w:rsidRPr="00030313">
        <w:rPr>
          <w:rFonts w:ascii="Times New Roman" w:hAnsi="Times New Roman"/>
          <w:bCs/>
          <w:i/>
          <w:spacing w:val="5"/>
          <w:sz w:val="28"/>
        </w:rPr>
        <w:t>an a los diferentes sexos. Es lo que algunos autores denominan los roles de género. Sicológicamente, la sexualidad alude no sólo a la identidad que al respecto se forman los seres humanos, sino que tiene además aspectos comportamentales, ligados a la orien</w:t>
      </w:r>
      <w:r w:rsidRPr="00030313">
        <w:rPr>
          <w:rFonts w:ascii="Times New Roman" w:hAnsi="Times New Roman"/>
          <w:bCs/>
          <w:i/>
          <w:spacing w:val="5"/>
          <w:sz w:val="28"/>
        </w:rPr>
        <w:t>tación afectiva que tienen los individuos por personas de determinado sexo. Y finalmente, la sexualidad tiene una clara dimensión biológica.</w:t>
      </w:r>
    </w:p>
    <w:p w:rsidR="00E27CA6" w:rsidRPr="00030313" w:rsidRDefault="00030313" w:rsidP="00C61937">
      <w:pPr>
        <w:jc w:val="both"/>
        <w:rPr>
          <w:rFonts w:ascii="Times New Roman" w:hAnsi="Times New Roman"/>
          <w:b/>
          <w:iCs/>
          <w:spacing w:val="5"/>
          <w:sz w:val="28"/>
          <w:szCs w:val="24"/>
        </w:rPr>
      </w:pPr>
    </w:p>
    <w:p w:rsidR="00E27CA6" w:rsidRPr="00030313" w:rsidRDefault="00030313" w:rsidP="00C61937">
      <w:pPr>
        <w:numPr>
          <w:ilvl w:val="0"/>
          <w:numId w:val="6"/>
        </w:numPr>
        <w:ind w:left="0" w:firstLine="0"/>
        <w:jc w:val="both"/>
        <w:rPr>
          <w:rFonts w:ascii="Times New Roman" w:hAnsi="Times New Roman"/>
          <w:b/>
          <w:iCs/>
          <w:spacing w:val="5"/>
          <w:sz w:val="28"/>
        </w:rPr>
      </w:pPr>
      <w:r w:rsidRPr="00030313">
        <w:rPr>
          <w:rFonts w:ascii="Times New Roman" w:hAnsi="Times New Roman"/>
          <w:bCs/>
          <w:iCs/>
          <w:spacing w:val="5"/>
          <w:sz w:val="28"/>
        </w:rPr>
        <w:t>Desde la Sentencia SU-377 de 1999, la Corte reconoció que existía una variabilidad de las dimensiones sociales y s</w:t>
      </w:r>
      <w:r w:rsidRPr="00030313">
        <w:rPr>
          <w:rFonts w:ascii="Times New Roman" w:hAnsi="Times New Roman"/>
          <w:bCs/>
          <w:iCs/>
          <w:spacing w:val="5"/>
          <w:sz w:val="28"/>
        </w:rPr>
        <w:t>icológicas de la sexualidad que “</w:t>
      </w:r>
      <w:r w:rsidRPr="00030313">
        <w:rPr>
          <w:rFonts w:ascii="Times New Roman" w:hAnsi="Times New Roman"/>
          <w:bCs/>
          <w:i/>
          <w:spacing w:val="5"/>
          <w:sz w:val="28"/>
        </w:rPr>
        <w:t>suele entonces contraponerse a la diferencia estrictamente biológica entre los sexos, que se considera más fija y estable, por lo cual muchos autores reservan la expresión ‘género’ para referirse a los cambiantes aspectos s</w:t>
      </w:r>
      <w:r w:rsidRPr="00030313">
        <w:rPr>
          <w:rFonts w:ascii="Times New Roman" w:hAnsi="Times New Roman"/>
          <w:bCs/>
          <w:i/>
          <w:spacing w:val="5"/>
          <w:sz w:val="28"/>
        </w:rPr>
        <w:t>ociales, sicológicos y culturales de la sexualidad, mientras que emplean la expresión ‘sexo’ para aludir a sus componentes biológicos”.</w:t>
      </w:r>
      <w:r w:rsidRPr="00030313">
        <w:rPr>
          <w:rFonts w:ascii="Times New Roman" w:hAnsi="Times New Roman"/>
          <w:bCs/>
          <w:iCs/>
          <w:spacing w:val="5"/>
          <w:sz w:val="28"/>
        </w:rPr>
        <w:t xml:space="preserve"> Con todo, desde 1999, la Corte comprendió que, ni siquiera desde un punto de vista estrictamente biológico, la sexualida</w:t>
      </w:r>
      <w:r w:rsidRPr="00030313">
        <w:rPr>
          <w:rFonts w:ascii="Times New Roman" w:hAnsi="Times New Roman"/>
          <w:bCs/>
          <w:iCs/>
          <w:spacing w:val="5"/>
          <w:sz w:val="28"/>
        </w:rPr>
        <w:t>d no tiene un carácter unívoco, pues comporta múltiples aspectos que también han sido abordados por la ciencia y la biología</w:t>
      </w:r>
      <w:r w:rsidRPr="00030313">
        <w:rPr>
          <w:rStyle w:val="Refdenotaalpie"/>
          <w:rFonts w:ascii="Times New Roman" w:hAnsi="Times New Roman"/>
          <w:bCs/>
          <w:iCs/>
          <w:spacing w:val="5"/>
          <w:sz w:val="28"/>
        </w:rPr>
        <w:footnoteReference w:id="47"/>
      </w:r>
      <w:r w:rsidRPr="00030313">
        <w:rPr>
          <w:rFonts w:ascii="Times New Roman" w:hAnsi="Times New Roman"/>
          <w:bCs/>
          <w:iCs/>
          <w:spacing w:val="5"/>
          <w:sz w:val="28"/>
        </w:rPr>
        <w:t>.</w:t>
      </w:r>
    </w:p>
    <w:p w:rsidR="00E27CA6" w:rsidRPr="00030313" w:rsidRDefault="00030313" w:rsidP="00C61937">
      <w:pPr>
        <w:jc w:val="both"/>
        <w:rPr>
          <w:rFonts w:ascii="Times New Roman" w:hAnsi="Times New Roman"/>
          <w:b/>
          <w:iCs/>
          <w:spacing w:val="5"/>
          <w:sz w:val="28"/>
        </w:rPr>
      </w:pPr>
    </w:p>
    <w:p w:rsidR="00594C15" w:rsidRPr="00030313" w:rsidRDefault="00030313" w:rsidP="00C61937">
      <w:pPr>
        <w:numPr>
          <w:ilvl w:val="0"/>
          <w:numId w:val="6"/>
        </w:numPr>
        <w:ind w:left="0" w:firstLine="0"/>
        <w:jc w:val="both"/>
        <w:rPr>
          <w:rFonts w:ascii="Times New Roman" w:hAnsi="Times New Roman"/>
          <w:b/>
          <w:iCs/>
          <w:spacing w:val="5"/>
          <w:sz w:val="28"/>
        </w:rPr>
      </w:pPr>
      <w:r w:rsidRPr="00030313">
        <w:rPr>
          <w:rFonts w:ascii="Times New Roman" w:hAnsi="Times New Roman"/>
          <w:sz w:val="28"/>
        </w:rPr>
        <w:t xml:space="preserve">Desde antaño y conforme al desarrollo jurisprudencial, </w:t>
      </w:r>
      <w:r w:rsidRPr="00030313">
        <w:rPr>
          <w:rFonts w:ascii="Times New Roman" w:hAnsi="Times New Roman"/>
          <w:sz w:val="28"/>
        </w:rPr>
        <w:t>esta</w:t>
      </w:r>
      <w:r w:rsidRPr="00030313">
        <w:rPr>
          <w:rFonts w:ascii="Times New Roman" w:hAnsi="Times New Roman"/>
          <w:sz w:val="28"/>
        </w:rPr>
        <w:t xml:space="preserve"> Cor</w:t>
      </w:r>
      <w:r w:rsidRPr="00030313">
        <w:rPr>
          <w:rFonts w:ascii="Times New Roman" w:hAnsi="Times New Roman"/>
          <w:sz w:val="28"/>
        </w:rPr>
        <w:t>poración</w:t>
      </w:r>
      <w:r w:rsidRPr="00030313">
        <w:rPr>
          <w:rFonts w:ascii="Times New Roman" w:hAnsi="Times New Roman"/>
          <w:sz w:val="28"/>
        </w:rPr>
        <w:t xml:space="preserve"> se ha aproximado </w:t>
      </w:r>
      <w:r w:rsidRPr="00030313">
        <w:rPr>
          <w:rFonts w:ascii="Times New Roman" w:hAnsi="Times New Roman"/>
          <w:sz w:val="28"/>
        </w:rPr>
        <w:t>al concepto de la identidad de género d</w:t>
      </w:r>
      <w:r w:rsidRPr="00030313">
        <w:rPr>
          <w:rFonts w:ascii="Times New Roman" w:hAnsi="Times New Roman"/>
          <w:sz w:val="28"/>
        </w:rPr>
        <w:t>esde un</w:t>
      </w:r>
      <w:r w:rsidRPr="00030313">
        <w:rPr>
          <w:rFonts w:ascii="Times New Roman" w:hAnsi="Times New Roman"/>
          <w:sz w:val="28"/>
        </w:rPr>
        <w:t>a perspectiva social y cultural que contempla</w:t>
      </w:r>
      <w:r w:rsidRPr="00030313">
        <w:rPr>
          <w:rFonts w:ascii="Times New Roman" w:hAnsi="Times New Roman"/>
          <w:sz w:val="28"/>
        </w:rPr>
        <w:t xml:space="preserve"> y reconoce</w:t>
      </w:r>
      <w:r w:rsidRPr="00030313">
        <w:rPr>
          <w:rFonts w:ascii="Times New Roman" w:hAnsi="Times New Roman"/>
          <w:sz w:val="28"/>
        </w:rPr>
        <w:t xml:space="preserve"> las complejidades, tensiones y debates que subyacen a la identidad de género. </w:t>
      </w:r>
      <w:r w:rsidRPr="00030313">
        <w:rPr>
          <w:rFonts w:ascii="Times New Roman" w:hAnsi="Times New Roman"/>
          <w:sz w:val="28"/>
        </w:rPr>
        <w:t xml:space="preserve">La Corte Constitucional ha </w:t>
      </w:r>
      <w:r w:rsidRPr="00030313">
        <w:rPr>
          <w:rFonts w:ascii="Times New Roman" w:hAnsi="Times New Roman"/>
          <w:sz w:val="28"/>
        </w:rPr>
        <w:t>observado</w:t>
      </w:r>
      <w:r w:rsidRPr="00030313">
        <w:rPr>
          <w:rFonts w:ascii="Times New Roman" w:hAnsi="Times New Roman"/>
          <w:sz w:val="28"/>
        </w:rPr>
        <w:t xml:space="preserve"> la existencia de la identidad de género como un derecho fundamental innominado</w:t>
      </w:r>
      <w:r w:rsidRPr="00030313">
        <w:rPr>
          <w:rFonts w:ascii="Times New Roman" w:hAnsi="Times New Roman"/>
          <w:sz w:val="28"/>
        </w:rPr>
        <w:t xml:space="preserve"> y como una garantía </w:t>
      </w:r>
      <w:r w:rsidRPr="00030313">
        <w:rPr>
          <w:rFonts w:ascii="Times New Roman" w:hAnsi="Times New Roman"/>
          <w:bCs/>
          <w:i/>
          <w:spacing w:val="5"/>
          <w:sz w:val="28"/>
        </w:rPr>
        <w:t xml:space="preserve">iusfundamental </w:t>
      </w:r>
      <w:r w:rsidRPr="00030313">
        <w:rPr>
          <w:rFonts w:ascii="Times New Roman" w:hAnsi="Times New Roman"/>
          <w:bCs/>
          <w:iCs/>
          <w:spacing w:val="5"/>
          <w:sz w:val="28"/>
        </w:rPr>
        <w:t>derivad</w:t>
      </w:r>
      <w:r w:rsidRPr="00030313">
        <w:rPr>
          <w:rFonts w:ascii="Times New Roman" w:hAnsi="Times New Roman"/>
          <w:bCs/>
          <w:iCs/>
          <w:spacing w:val="5"/>
          <w:sz w:val="28"/>
        </w:rPr>
        <w:t>a</w:t>
      </w:r>
      <w:r w:rsidRPr="00030313">
        <w:rPr>
          <w:rFonts w:ascii="Times New Roman" w:hAnsi="Times New Roman"/>
          <w:bCs/>
          <w:iCs/>
          <w:spacing w:val="5"/>
          <w:sz w:val="28"/>
        </w:rPr>
        <w:t xml:space="preserve"> de la conexión intrínseca entre ést</w:t>
      </w:r>
      <w:r w:rsidRPr="00030313">
        <w:rPr>
          <w:rFonts w:ascii="Times New Roman" w:hAnsi="Times New Roman"/>
          <w:bCs/>
          <w:iCs/>
          <w:spacing w:val="5"/>
          <w:sz w:val="28"/>
        </w:rPr>
        <w:t>a</w:t>
      </w:r>
      <w:r w:rsidRPr="00030313">
        <w:rPr>
          <w:rFonts w:ascii="Times New Roman" w:hAnsi="Times New Roman"/>
          <w:bCs/>
          <w:iCs/>
          <w:spacing w:val="5"/>
          <w:sz w:val="28"/>
        </w:rPr>
        <w:t>, la dignidad human</w:t>
      </w:r>
      <w:r w:rsidRPr="00030313">
        <w:rPr>
          <w:rFonts w:ascii="Times New Roman" w:hAnsi="Times New Roman"/>
          <w:bCs/>
          <w:iCs/>
          <w:spacing w:val="5"/>
          <w:sz w:val="28"/>
        </w:rPr>
        <w:t>a</w:t>
      </w:r>
      <w:r w:rsidRPr="00030313">
        <w:rPr>
          <w:rStyle w:val="Refdenotaalpie"/>
          <w:rFonts w:ascii="Times New Roman" w:hAnsi="Times New Roman"/>
          <w:bCs/>
          <w:iCs/>
          <w:spacing w:val="5"/>
          <w:sz w:val="28"/>
        </w:rPr>
        <w:footnoteReference w:id="48"/>
      </w:r>
      <w:r w:rsidRPr="00030313">
        <w:rPr>
          <w:rFonts w:ascii="Times New Roman" w:hAnsi="Times New Roman"/>
          <w:bCs/>
          <w:iCs/>
          <w:spacing w:val="5"/>
          <w:sz w:val="28"/>
        </w:rPr>
        <w:t>,</w:t>
      </w:r>
      <w:r w:rsidRPr="00030313">
        <w:rPr>
          <w:rFonts w:ascii="Times New Roman" w:hAnsi="Times New Roman"/>
          <w:bCs/>
          <w:iCs/>
          <w:spacing w:val="5"/>
          <w:sz w:val="28"/>
        </w:rPr>
        <w:t xml:space="preserve"> el derecho al libre desarrollo a la personalidad</w:t>
      </w:r>
      <w:r w:rsidRPr="00030313">
        <w:rPr>
          <w:rStyle w:val="Refdenotaalpie"/>
          <w:rFonts w:ascii="Times New Roman" w:hAnsi="Times New Roman"/>
          <w:bCs/>
          <w:iCs/>
          <w:spacing w:val="5"/>
          <w:sz w:val="28"/>
        </w:rPr>
        <w:footnoteReference w:id="49"/>
      </w:r>
      <w:r w:rsidRPr="00030313">
        <w:rPr>
          <w:rFonts w:ascii="Times New Roman" w:hAnsi="Times New Roman"/>
          <w:bCs/>
          <w:iCs/>
          <w:spacing w:val="5"/>
          <w:sz w:val="28"/>
        </w:rPr>
        <w:t>,</w:t>
      </w:r>
      <w:r w:rsidRPr="00030313">
        <w:rPr>
          <w:rFonts w:ascii="Times New Roman" w:hAnsi="Times New Roman"/>
          <w:bCs/>
          <w:iCs/>
          <w:spacing w:val="5"/>
          <w:sz w:val="28"/>
        </w:rPr>
        <w:t xml:space="preserve"> el derecho a la intimi</w:t>
      </w:r>
      <w:r w:rsidRPr="00030313">
        <w:rPr>
          <w:rFonts w:ascii="Times New Roman" w:hAnsi="Times New Roman"/>
          <w:bCs/>
          <w:iCs/>
          <w:spacing w:val="5"/>
          <w:sz w:val="28"/>
        </w:rPr>
        <w:t>dad</w:t>
      </w:r>
      <w:r w:rsidRPr="00030313">
        <w:rPr>
          <w:rStyle w:val="Refdenotaalpie"/>
          <w:rFonts w:ascii="Times New Roman" w:hAnsi="Times New Roman"/>
          <w:bCs/>
          <w:iCs/>
          <w:spacing w:val="5"/>
          <w:sz w:val="28"/>
        </w:rPr>
        <w:footnoteReference w:id="50"/>
      </w:r>
      <w:r w:rsidRPr="00030313">
        <w:rPr>
          <w:rFonts w:ascii="Times New Roman" w:hAnsi="Times New Roman"/>
          <w:bCs/>
          <w:iCs/>
          <w:spacing w:val="5"/>
          <w:sz w:val="28"/>
        </w:rPr>
        <w:t xml:space="preserve"> y el derecho a la igualdad</w:t>
      </w:r>
      <w:r w:rsidRPr="00030313">
        <w:rPr>
          <w:rStyle w:val="Refdenotaalpie"/>
          <w:rFonts w:ascii="Times New Roman" w:hAnsi="Times New Roman"/>
          <w:bCs/>
          <w:iCs/>
          <w:spacing w:val="5"/>
          <w:sz w:val="28"/>
        </w:rPr>
        <w:footnoteReference w:id="51"/>
      </w:r>
      <w:r w:rsidRPr="00030313">
        <w:rPr>
          <w:rFonts w:ascii="Times New Roman" w:hAnsi="Times New Roman"/>
          <w:bCs/>
          <w:iCs/>
          <w:spacing w:val="5"/>
          <w:sz w:val="28"/>
        </w:rPr>
        <w:t>.</w:t>
      </w:r>
      <w:r w:rsidRPr="00030313">
        <w:rPr>
          <w:rFonts w:ascii="Times New Roman" w:hAnsi="Times New Roman"/>
          <w:bCs/>
          <w:iCs/>
          <w:spacing w:val="5"/>
          <w:sz w:val="28"/>
        </w:rPr>
        <w:t xml:space="preserve"> </w:t>
      </w:r>
      <w:r w:rsidRPr="00030313">
        <w:rPr>
          <w:rFonts w:ascii="Times New Roman" w:hAnsi="Times New Roman"/>
          <w:bCs/>
          <w:iCs/>
          <w:spacing w:val="5"/>
          <w:sz w:val="28"/>
        </w:rPr>
        <w:t>En palabras de la Corte Constitucional</w:t>
      </w:r>
      <w:r w:rsidRPr="00030313">
        <w:rPr>
          <w:rStyle w:val="Refdenotaalpie"/>
          <w:rFonts w:ascii="Times New Roman" w:hAnsi="Times New Roman"/>
          <w:bCs/>
          <w:iCs/>
          <w:spacing w:val="5"/>
          <w:sz w:val="28"/>
        </w:rPr>
        <w:footnoteReference w:id="52"/>
      </w:r>
      <w:r w:rsidRPr="00030313">
        <w:rPr>
          <w:rFonts w:ascii="Times New Roman" w:hAnsi="Times New Roman"/>
          <w:bCs/>
          <w:iCs/>
          <w:spacing w:val="5"/>
          <w:sz w:val="28"/>
        </w:rPr>
        <w:t>:</w:t>
      </w:r>
    </w:p>
    <w:p w:rsidR="0024201B" w:rsidRPr="00030313" w:rsidRDefault="00030313" w:rsidP="00C61937">
      <w:pPr>
        <w:jc w:val="both"/>
        <w:rPr>
          <w:rFonts w:ascii="Times New Roman" w:hAnsi="Times New Roman"/>
          <w:bCs/>
          <w:iCs/>
          <w:spacing w:val="5"/>
          <w:sz w:val="28"/>
        </w:rPr>
      </w:pPr>
    </w:p>
    <w:p w:rsidR="0024201B" w:rsidRPr="00030313" w:rsidRDefault="00030313" w:rsidP="00C61937">
      <w:pPr>
        <w:ind w:left="284" w:right="334"/>
        <w:jc w:val="both"/>
        <w:rPr>
          <w:rFonts w:ascii="Times New Roman" w:hAnsi="Times New Roman"/>
          <w:bCs/>
          <w:iCs/>
          <w:spacing w:val="5"/>
          <w:sz w:val="28"/>
        </w:rPr>
      </w:pPr>
      <w:r w:rsidRPr="00030313">
        <w:rPr>
          <w:rFonts w:ascii="Times New Roman" w:hAnsi="Times New Roman"/>
          <w:bCs/>
          <w:i/>
          <w:spacing w:val="5"/>
          <w:sz w:val="28"/>
        </w:rPr>
        <w:t>El derecho a la identidad como</w:t>
      </w:r>
      <w:r w:rsidRPr="00030313">
        <w:rPr>
          <w:rFonts w:ascii="Times New Roman" w:hAnsi="Times New Roman"/>
          <w:bCs/>
          <w:iCs/>
          <w:spacing w:val="5"/>
          <w:sz w:val="28"/>
        </w:rPr>
        <w:t> </w:t>
      </w:r>
      <w:r w:rsidRPr="00030313">
        <w:rPr>
          <w:rFonts w:ascii="Times New Roman" w:hAnsi="Times New Roman"/>
          <w:bCs/>
          <w:i/>
          <w:iCs/>
          <w:spacing w:val="5"/>
          <w:sz w:val="28"/>
        </w:rPr>
        <w:t>‘</w:t>
      </w:r>
      <w:r w:rsidRPr="00030313">
        <w:rPr>
          <w:rFonts w:ascii="Times New Roman" w:hAnsi="Times New Roman"/>
          <w:bCs/>
          <w:i/>
          <w:iCs/>
          <w:spacing w:val="5"/>
          <w:sz w:val="28"/>
        </w:rPr>
        <w:t>expresión de la autonomía individual y de la capacidad de autodeterminación, de lo que se es, de las condiciones materiales de existencia, y manifestación de la intangibilidad de la integridad física y moral</w:t>
      </w:r>
      <w:r w:rsidRPr="00030313">
        <w:rPr>
          <w:rFonts w:ascii="Times New Roman" w:hAnsi="Times New Roman"/>
          <w:bCs/>
          <w:i/>
          <w:iCs/>
          <w:spacing w:val="5"/>
          <w:sz w:val="28"/>
        </w:rPr>
        <w:t>’</w:t>
      </w:r>
      <w:r w:rsidRPr="00030313">
        <w:rPr>
          <w:rFonts w:ascii="Times New Roman" w:hAnsi="Times New Roman"/>
          <w:bCs/>
          <w:i/>
          <w:iCs/>
          <w:spacing w:val="5"/>
          <w:sz w:val="28"/>
        </w:rPr>
        <w:t xml:space="preserve">, </w:t>
      </w:r>
      <w:r w:rsidRPr="00030313">
        <w:rPr>
          <w:rFonts w:ascii="Times New Roman" w:hAnsi="Times New Roman"/>
          <w:bCs/>
          <w:i/>
          <w:iCs/>
          <w:spacing w:val="5"/>
          <w:sz w:val="28"/>
        </w:rPr>
        <w:t>es un derecho en constante construcción. De al</w:t>
      </w:r>
      <w:r w:rsidRPr="00030313">
        <w:rPr>
          <w:rFonts w:ascii="Times New Roman" w:hAnsi="Times New Roman"/>
          <w:bCs/>
          <w:i/>
          <w:iCs/>
          <w:spacing w:val="5"/>
          <w:sz w:val="28"/>
        </w:rPr>
        <w:t xml:space="preserve">lí que la doctrina constitucional ha señalado que la Corte eleva a derecho fundamental </w:t>
      </w:r>
      <w:r w:rsidRPr="00030313">
        <w:rPr>
          <w:rFonts w:ascii="Times New Roman" w:hAnsi="Times New Roman"/>
          <w:bCs/>
          <w:i/>
          <w:iCs/>
          <w:spacing w:val="5"/>
          <w:sz w:val="28"/>
        </w:rPr>
        <w:t>‘</w:t>
      </w:r>
      <w:r w:rsidRPr="00030313">
        <w:rPr>
          <w:rFonts w:ascii="Times New Roman" w:hAnsi="Times New Roman"/>
          <w:bCs/>
          <w:i/>
          <w:iCs/>
          <w:spacing w:val="5"/>
          <w:sz w:val="28"/>
        </w:rPr>
        <w:t>la libertad en materia de opciones vitales y creencias individuales</w:t>
      </w:r>
      <w:r w:rsidRPr="00030313">
        <w:rPr>
          <w:rFonts w:ascii="Times New Roman" w:hAnsi="Times New Roman"/>
          <w:bCs/>
          <w:i/>
          <w:iCs/>
          <w:spacing w:val="5"/>
          <w:sz w:val="28"/>
        </w:rPr>
        <w:t>’</w:t>
      </w:r>
      <w:r w:rsidRPr="00030313">
        <w:rPr>
          <w:rFonts w:ascii="Times New Roman" w:hAnsi="Times New Roman"/>
          <w:bCs/>
          <w:i/>
          <w:iCs/>
          <w:spacing w:val="5"/>
          <w:sz w:val="28"/>
        </w:rPr>
        <w:t>, siempre que no desconozcan los derechos de los demás o el orden jurídico.  Concretamente en relaci</w:t>
      </w:r>
      <w:r w:rsidRPr="00030313">
        <w:rPr>
          <w:rFonts w:ascii="Times New Roman" w:hAnsi="Times New Roman"/>
          <w:bCs/>
          <w:i/>
          <w:iCs/>
          <w:spacing w:val="5"/>
          <w:sz w:val="28"/>
        </w:rPr>
        <w:t>ón con la identidad sexual, en sentencia T-477 de 1995 sostuvo que </w:t>
      </w:r>
      <w:r w:rsidRPr="00030313">
        <w:rPr>
          <w:rFonts w:ascii="Times New Roman" w:hAnsi="Times New Roman"/>
          <w:bCs/>
          <w:i/>
          <w:iCs/>
          <w:spacing w:val="5"/>
          <w:sz w:val="28"/>
        </w:rPr>
        <w:t>‘</w:t>
      </w:r>
      <w:r w:rsidRPr="00030313">
        <w:rPr>
          <w:rFonts w:ascii="Times New Roman" w:hAnsi="Times New Roman"/>
          <w:bCs/>
          <w:i/>
          <w:iCs/>
          <w:spacing w:val="5"/>
          <w:sz w:val="28"/>
        </w:rPr>
        <w:t>en el derecho a la identidad la persona es un ser autónomo, con autoridad propia, orientado a fines específicos, que ejerce un claro dominio de su libertad y en consecuencia ninguna decisi</w:t>
      </w:r>
      <w:r w:rsidRPr="00030313">
        <w:rPr>
          <w:rFonts w:ascii="Times New Roman" w:hAnsi="Times New Roman"/>
          <w:bCs/>
          <w:i/>
          <w:iCs/>
          <w:spacing w:val="5"/>
          <w:sz w:val="28"/>
        </w:rPr>
        <w:t>ón tomada sin su consentimiento se torna válida. Tal autonomía, implica a la persona como dueña de su propio ser. La persona por su misma plenitud, es dueña de sí, es el sujeto autónomo y libre. En otros términos, el distintivo de ser persona y el fundamen</w:t>
      </w:r>
      <w:r w:rsidRPr="00030313">
        <w:rPr>
          <w:rFonts w:ascii="Times New Roman" w:hAnsi="Times New Roman"/>
          <w:bCs/>
          <w:i/>
          <w:iCs/>
          <w:spacing w:val="5"/>
          <w:sz w:val="28"/>
        </w:rPr>
        <w:t>to de la dignidad de la persona es el dominio de lo que quiere ser</w:t>
      </w:r>
      <w:r w:rsidRPr="00030313">
        <w:rPr>
          <w:rFonts w:ascii="Times New Roman" w:hAnsi="Times New Roman"/>
          <w:bCs/>
          <w:i/>
          <w:iCs/>
          <w:spacing w:val="5"/>
          <w:sz w:val="28"/>
        </w:rPr>
        <w:t>’</w:t>
      </w:r>
      <w:r w:rsidRPr="00030313">
        <w:rPr>
          <w:rFonts w:ascii="Times New Roman" w:hAnsi="Times New Roman"/>
          <w:bCs/>
          <w:i/>
          <w:iCs/>
          <w:spacing w:val="5"/>
          <w:sz w:val="28"/>
        </w:rPr>
        <w:t>.</w:t>
      </w:r>
    </w:p>
    <w:p w:rsidR="00C36B4C" w:rsidRPr="00030313" w:rsidRDefault="00030313" w:rsidP="00C61937">
      <w:pPr>
        <w:ind w:right="51"/>
        <w:jc w:val="both"/>
        <w:rPr>
          <w:rFonts w:ascii="Times New Roman" w:hAnsi="Times New Roman"/>
          <w:bCs/>
          <w:iCs/>
          <w:spacing w:val="5"/>
          <w:sz w:val="28"/>
        </w:rPr>
      </w:pPr>
    </w:p>
    <w:p w:rsidR="008A185C" w:rsidRPr="00030313" w:rsidRDefault="00030313" w:rsidP="00C61937">
      <w:pPr>
        <w:numPr>
          <w:ilvl w:val="0"/>
          <w:numId w:val="6"/>
        </w:numPr>
        <w:ind w:left="0" w:firstLine="0"/>
        <w:jc w:val="both"/>
        <w:rPr>
          <w:rFonts w:ascii="Times New Roman" w:hAnsi="Times New Roman"/>
          <w:b/>
          <w:iCs/>
          <w:spacing w:val="5"/>
          <w:sz w:val="28"/>
        </w:rPr>
      </w:pPr>
      <w:r w:rsidRPr="00030313">
        <w:rPr>
          <w:rFonts w:ascii="Times New Roman" w:hAnsi="Times New Roman"/>
          <w:bCs/>
          <w:iCs/>
          <w:spacing w:val="5"/>
          <w:sz w:val="28"/>
        </w:rPr>
        <w:t>En la Sentencia T-467 de 2014, la Corte advirtió que el derecho a</w:t>
      </w:r>
      <w:r w:rsidRPr="00030313">
        <w:rPr>
          <w:rFonts w:ascii="Times New Roman" w:hAnsi="Times New Roman"/>
          <w:bCs/>
          <w:iCs/>
          <w:spacing w:val="5"/>
          <w:sz w:val="28"/>
        </w:rPr>
        <w:t xml:space="preserve"> </w:t>
      </w:r>
      <w:r w:rsidRPr="00030313">
        <w:rPr>
          <w:rFonts w:ascii="Times New Roman" w:hAnsi="Times New Roman"/>
          <w:bCs/>
          <w:iCs/>
          <w:spacing w:val="5"/>
          <w:sz w:val="28"/>
        </w:rPr>
        <w:t xml:space="preserve">la identidad es la materialización del libre desarrollo de la personalidad, pues mantiene una estrecha relación con la autonomía, </w:t>
      </w:r>
      <w:r w:rsidRPr="00030313">
        <w:rPr>
          <w:rFonts w:ascii="Times New Roman" w:hAnsi="Times New Roman"/>
          <w:bCs/>
          <w:iCs/>
          <w:spacing w:val="5"/>
          <w:sz w:val="28"/>
        </w:rPr>
        <w:t>el autogobierno</w:t>
      </w:r>
      <w:r w:rsidRPr="00030313">
        <w:rPr>
          <w:rFonts w:ascii="Times New Roman" w:hAnsi="Times New Roman"/>
          <w:bCs/>
          <w:iCs/>
          <w:spacing w:val="5"/>
          <w:sz w:val="28"/>
        </w:rPr>
        <w:t xml:space="preserve"> y</w:t>
      </w:r>
      <w:r w:rsidRPr="00030313">
        <w:rPr>
          <w:rFonts w:ascii="Times New Roman" w:hAnsi="Times New Roman"/>
          <w:bCs/>
          <w:iCs/>
          <w:spacing w:val="5"/>
          <w:sz w:val="28"/>
        </w:rPr>
        <w:t xml:space="preserve"> la individualización de su ser como persona singular</w:t>
      </w:r>
      <w:r w:rsidRPr="00030313">
        <w:rPr>
          <w:rFonts w:ascii="Times New Roman" w:hAnsi="Times New Roman"/>
          <w:bCs/>
          <w:iCs/>
          <w:spacing w:val="5"/>
          <w:sz w:val="28"/>
        </w:rPr>
        <w:t>, como elementos fundamentales para la construcción de s</w:t>
      </w:r>
      <w:r w:rsidRPr="00030313">
        <w:rPr>
          <w:rFonts w:ascii="Times New Roman" w:hAnsi="Times New Roman"/>
          <w:bCs/>
          <w:iCs/>
          <w:spacing w:val="5"/>
          <w:sz w:val="28"/>
        </w:rPr>
        <w:t xml:space="preserve">u identidad de género. </w:t>
      </w:r>
      <w:r w:rsidRPr="00030313">
        <w:rPr>
          <w:rFonts w:ascii="Times New Roman" w:hAnsi="Times New Roman"/>
          <w:bCs/>
          <w:iCs/>
          <w:spacing w:val="5"/>
          <w:sz w:val="28"/>
        </w:rPr>
        <w:t xml:space="preserve">En ese mismo sentido, es responsabilidad del Estado </w:t>
      </w:r>
      <w:r w:rsidRPr="00030313">
        <w:rPr>
          <w:rFonts w:ascii="Times New Roman" w:hAnsi="Times New Roman"/>
          <w:bCs/>
          <w:iCs/>
          <w:spacing w:val="5"/>
          <w:sz w:val="28"/>
        </w:rPr>
        <w:t>garantizar la pluralidad de derechos y proteger la coexistencia de las distintas manifestaciones de la experiencia del ser humano. Así, es su deber garantizar que las personas de to</w:t>
      </w:r>
      <w:r w:rsidRPr="00030313">
        <w:rPr>
          <w:rFonts w:ascii="Times New Roman" w:hAnsi="Times New Roman"/>
          <w:bCs/>
          <w:iCs/>
          <w:spacing w:val="5"/>
          <w:sz w:val="28"/>
        </w:rPr>
        <w:t xml:space="preserve">das las orientaciones sexuales e identidades de género diversas, </w:t>
      </w:r>
      <w:r w:rsidRPr="00030313">
        <w:rPr>
          <w:rFonts w:ascii="Times New Roman" w:hAnsi="Times New Roman"/>
          <w:bCs/>
          <w:iCs/>
          <w:spacing w:val="5"/>
          <w:sz w:val="28"/>
        </w:rPr>
        <w:t xml:space="preserve">puedan vivir con la misma dignidad y respeto que tienen todos individuos que se identifican </w:t>
      </w:r>
      <w:r w:rsidRPr="00030313">
        <w:rPr>
          <w:rFonts w:ascii="Times New Roman" w:hAnsi="Times New Roman"/>
          <w:bCs/>
          <w:iCs/>
          <w:spacing w:val="5"/>
          <w:sz w:val="28"/>
        </w:rPr>
        <w:t>con categorías heteronormativas</w:t>
      </w:r>
      <w:r w:rsidRPr="00030313">
        <w:rPr>
          <w:rFonts w:ascii="Times New Roman" w:hAnsi="Times New Roman"/>
          <w:bCs/>
          <w:iCs/>
          <w:spacing w:val="5"/>
          <w:sz w:val="28"/>
        </w:rPr>
        <w:t xml:space="preserve"> respecto de su sexo y género</w:t>
      </w:r>
      <w:r w:rsidRPr="00030313">
        <w:rPr>
          <w:rStyle w:val="Refdenotaalpie"/>
          <w:rFonts w:ascii="Times New Roman" w:hAnsi="Times New Roman"/>
          <w:bCs/>
          <w:iCs/>
          <w:spacing w:val="5"/>
          <w:sz w:val="28"/>
        </w:rPr>
        <w:footnoteReference w:id="53"/>
      </w:r>
      <w:r w:rsidRPr="00030313">
        <w:rPr>
          <w:rFonts w:ascii="Times New Roman" w:hAnsi="Times New Roman"/>
          <w:bCs/>
          <w:iCs/>
          <w:spacing w:val="5"/>
          <w:sz w:val="28"/>
        </w:rPr>
        <w:t>.</w:t>
      </w:r>
      <w:r w:rsidRPr="00030313">
        <w:rPr>
          <w:rFonts w:ascii="Times New Roman" w:hAnsi="Times New Roman"/>
          <w:bCs/>
          <w:iCs/>
          <w:spacing w:val="5"/>
          <w:sz w:val="28"/>
        </w:rPr>
        <w:t xml:space="preserve"> </w:t>
      </w:r>
      <w:r w:rsidRPr="00030313">
        <w:rPr>
          <w:rFonts w:ascii="Times New Roman" w:hAnsi="Times New Roman"/>
          <w:bCs/>
          <w:iCs/>
          <w:spacing w:val="5"/>
          <w:sz w:val="28"/>
        </w:rPr>
        <w:t xml:space="preserve"> </w:t>
      </w:r>
    </w:p>
    <w:p w:rsidR="008A185C" w:rsidRPr="00030313" w:rsidRDefault="00030313" w:rsidP="00C61937">
      <w:pPr>
        <w:jc w:val="both"/>
        <w:rPr>
          <w:rFonts w:ascii="Times New Roman" w:hAnsi="Times New Roman"/>
          <w:b/>
          <w:iCs/>
          <w:spacing w:val="5"/>
          <w:sz w:val="28"/>
        </w:rPr>
      </w:pPr>
    </w:p>
    <w:p w:rsidR="00247A45" w:rsidRPr="00030313" w:rsidRDefault="00030313" w:rsidP="00C61937">
      <w:pPr>
        <w:numPr>
          <w:ilvl w:val="0"/>
          <w:numId w:val="6"/>
        </w:numPr>
        <w:ind w:left="0" w:firstLine="0"/>
        <w:jc w:val="both"/>
        <w:rPr>
          <w:rFonts w:ascii="Times New Roman" w:hAnsi="Times New Roman"/>
          <w:b/>
          <w:iCs/>
          <w:spacing w:val="5"/>
          <w:sz w:val="28"/>
        </w:rPr>
      </w:pPr>
      <w:r w:rsidRPr="00030313">
        <w:rPr>
          <w:rFonts w:ascii="Times New Roman" w:hAnsi="Times New Roman"/>
          <w:bCs/>
          <w:iCs/>
          <w:spacing w:val="5"/>
          <w:sz w:val="28"/>
        </w:rPr>
        <w:t>Más tarde, l</w:t>
      </w:r>
      <w:r w:rsidRPr="00030313">
        <w:rPr>
          <w:rFonts w:ascii="Times New Roman" w:hAnsi="Times New Roman"/>
          <w:bCs/>
          <w:iCs/>
          <w:spacing w:val="5"/>
          <w:sz w:val="28"/>
        </w:rPr>
        <w:t>a Sentencia T-</w:t>
      </w:r>
      <w:r w:rsidRPr="00030313">
        <w:rPr>
          <w:rFonts w:ascii="Times New Roman" w:hAnsi="Times New Roman"/>
          <w:bCs/>
          <w:iCs/>
          <w:spacing w:val="5"/>
          <w:sz w:val="28"/>
        </w:rPr>
        <w:t xml:space="preserve">063 de </w:t>
      </w:r>
      <w:r w:rsidRPr="00030313">
        <w:rPr>
          <w:rFonts w:ascii="Times New Roman" w:hAnsi="Times New Roman"/>
          <w:bCs/>
          <w:iCs/>
          <w:spacing w:val="5"/>
          <w:sz w:val="28"/>
        </w:rPr>
        <w:t>2015 precis</w:t>
      </w:r>
      <w:r w:rsidRPr="00030313">
        <w:rPr>
          <w:rFonts w:ascii="Times New Roman" w:hAnsi="Times New Roman"/>
          <w:bCs/>
          <w:iCs/>
          <w:spacing w:val="5"/>
          <w:sz w:val="28"/>
        </w:rPr>
        <w:t>ó que</w:t>
      </w:r>
      <w:r w:rsidRPr="00030313">
        <w:rPr>
          <w:rFonts w:ascii="Times New Roman" w:hAnsi="Times New Roman"/>
          <w:bCs/>
          <w:iCs/>
          <w:spacing w:val="5"/>
          <w:sz w:val="28"/>
        </w:rPr>
        <w:t xml:space="preserve">, con fundamento en el derecho </w:t>
      </w:r>
      <w:r w:rsidRPr="00030313">
        <w:rPr>
          <w:rFonts w:ascii="Times New Roman" w:hAnsi="Times New Roman"/>
          <w:bCs/>
          <w:iCs/>
          <w:spacing w:val="5"/>
          <w:sz w:val="28"/>
        </w:rPr>
        <w:t>a la autodeterminación sexual</w:t>
      </w:r>
      <w:r w:rsidRPr="00030313">
        <w:rPr>
          <w:rFonts w:ascii="Times New Roman" w:hAnsi="Times New Roman"/>
          <w:bCs/>
          <w:iCs/>
          <w:spacing w:val="5"/>
          <w:sz w:val="28"/>
        </w:rPr>
        <w:t>,</w:t>
      </w:r>
      <w:r w:rsidRPr="00030313">
        <w:rPr>
          <w:rFonts w:ascii="Times New Roman" w:hAnsi="Times New Roman"/>
          <w:bCs/>
          <w:iCs/>
          <w:spacing w:val="5"/>
          <w:sz w:val="28"/>
        </w:rPr>
        <w:t xml:space="preserve"> se deben proteger los derechos de quienes se </w:t>
      </w:r>
      <w:r w:rsidRPr="00030313">
        <w:rPr>
          <w:rFonts w:ascii="Times New Roman" w:hAnsi="Times New Roman"/>
          <w:bCs/>
          <w:iCs/>
          <w:spacing w:val="5"/>
          <w:sz w:val="28"/>
        </w:rPr>
        <w:t>auto perciben</w:t>
      </w:r>
      <w:r w:rsidRPr="00030313">
        <w:rPr>
          <w:rFonts w:ascii="Times New Roman" w:hAnsi="Times New Roman"/>
          <w:bCs/>
          <w:iCs/>
          <w:spacing w:val="5"/>
          <w:sz w:val="28"/>
        </w:rPr>
        <w:t xml:space="preserve"> de una forma distinta de aquellos que, tradicionalmente, se han </w:t>
      </w:r>
      <w:r w:rsidRPr="00030313">
        <w:rPr>
          <w:rFonts w:ascii="Times New Roman" w:hAnsi="Times New Roman"/>
          <w:bCs/>
          <w:iCs/>
          <w:spacing w:val="5"/>
          <w:sz w:val="28"/>
        </w:rPr>
        <w:t>identificado</w:t>
      </w:r>
      <w:r w:rsidRPr="00030313">
        <w:rPr>
          <w:rFonts w:ascii="Times New Roman" w:hAnsi="Times New Roman"/>
          <w:bCs/>
          <w:iCs/>
          <w:spacing w:val="5"/>
          <w:sz w:val="28"/>
        </w:rPr>
        <w:t xml:space="preserve"> bajo las categorías binarias</w:t>
      </w:r>
      <w:r w:rsidRPr="00030313">
        <w:rPr>
          <w:rFonts w:ascii="Times New Roman" w:hAnsi="Times New Roman"/>
          <w:bCs/>
          <w:iCs/>
          <w:spacing w:val="5"/>
          <w:sz w:val="28"/>
        </w:rPr>
        <w:t>. En consecuen</w:t>
      </w:r>
      <w:r w:rsidRPr="00030313">
        <w:rPr>
          <w:rFonts w:ascii="Times New Roman" w:hAnsi="Times New Roman"/>
          <w:bCs/>
          <w:iCs/>
          <w:spacing w:val="5"/>
          <w:sz w:val="28"/>
        </w:rPr>
        <w:t>cia, la Corte advirtió que</w:t>
      </w:r>
      <w:r w:rsidRPr="00030313">
        <w:rPr>
          <w:rStyle w:val="Refdenotaalpie"/>
          <w:rFonts w:ascii="Times New Roman" w:hAnsi="Times New Roman"/>
          <w:bCs/>
          <w:iCs/>
          <w:spacing w:val="5"/>
          <w:sz w:val="28"/>
        </w:rPr>
        <w:footnoteReference w:id="54"/>
      </w:r>
      <w:r w:rsidRPr="00030313">
        <w:rPr>
          <w:rFonts w:ascii="Times New Roman" w:hAnsi="Times New Roman"/>
          <w:bCs/>
          <w:iCs/>
          <w:spacing w:val="5"/>
          <w:sz w:val="28"/>
        </w:rPr>
        <w:t>:</w:t>
      </w:r>
    </w:p>
    <w:p w:rsidR="00247A45" w:rsidRPr="00030313" w:rsidRDefault="00030313" w:rsidP="00C61937">
      <w:pPr>
        <w:jc w:val="both"/>
        <w:rPr>
          <w:rFonts w:ascii="Times New Roman" w:hAnsi="Times New Roman"/>
          <w:b/>
          <w:iCs/>
          <w:spacing w:val="5"/>
          <w:sz w:val="28"/>
        </w:rPr>
      </w:pPr>
    </w:p>
    <w:p w:rsidR="00160129" w:rsidRPr="00030313" w:rsidRDefault="00030313" w:rsidP="00C61937">
      <w:pPr>
        <w:ind w:left="284" w:right="334"/>
        <w:jc w:val="both"/>
        <w:rPr>
          <w:rFonts w:ascii="Times New Roman" w:hAnsi="Times New Roman"/>
          <w:b/>
          <w:iCs/>
          <w:spacing w:val="5"/>
          <w:sz w:val="28"/>
        </w:rPr>
      </w:pPr>
      <w:r w:rsidRPr="00030313">
        <w:rPr>
          <w:rFonts w:ascii="Times New Roman" w:hAnsi="Times New Roman"/>
          <w:bCs/>
          <w:i/>
          <w:spacing w:val="5"/>
          <w:sz w:val="28"/>
        </w:rPr>
        <w:t>[E]</w:t>
      </w:r>
      <w:r w:rsidRPr="00030313">
        <w:rPr>
          <w:rFonts w:ascii="Times New Roman" w:hAnsi="Times New Roman"/>
          <w:bCs/>
          <w:i/>
          <w:spacing w:val="5"/>
          <w:sz w:val="28"/>
        </w:rPr>
        <w:t xml:space="preserve">n la actualidad se reconocen diversas identidades de género, entidades como vivencias de la persona humana que suponen la elección de una opción de vida respetable y válida, merced a los derechos de igualdad y de libre desarrollo de la personalidad, entre </w:t>
      </w:r>
      <w:r w:rsidRPr="00030313">
        <w:rPr>
          <w:rFonts w:ascii="Times New Roman" w:hAnsi="Times New Roman"/>
          <w:bCs/>
          <w:i/>
          <w:spacing w:val="5"/>
          <w:sz w:val="28"/>
        </w:rPr>
        <w:t xml:space="preserve">otros. </w:t>
      </w:r>
      <w:r w:rsidRPr="00030313">
        <w:rPr>
          <w:rFonts w:ascii="Times New Roman" w:hAnsi="Times New Roman"/>
          <w:bCs/>
          <w:i/>
          <w:spacing w:val="5"/>
          <w:sz w:val="28"/>
        </w:rPr>
        <w:t xml:space="preserve">Por ende, quien decide asumirla, es titular, de intereses jurídicamente protegidos, que bajo </w:t>
      </w:r>
      <w:r w:rsidRPr="00030313">
        <w:rPr>
          <w:rFonts w:ascii="Times New Roman" w:hAnsi="Times New Roman"/>
          <w:bCs/>
          <w:i/>
          <w:spacing w:val="5"/>
          <w:sz w:val="28"/>
        </w:rPr>
        <w:t>ningún punto de vista puede ser objeto de restricción por el simple hecho de que el conglomerado social por miedos, p</w:t>
      </w:r>
      <w:r w:rsidRPr="00030313">
        <w:rPr>
          <w:rFonts w:ascii="Times New Roman" w:hAnsi="Times New Roman"/>
          <w:bCs/>
          <w:i/>
          <w:spacing w:val="5"/>
          <w:sz w:val="28"/>
        </w:rPr>
        <w:t>rejuicios sociales y morales carentes d</w:t>
      </w:r>
      <w:r w:rsidRPr="00030313">
        <w:rPr>
          <w:rFonts w:ascii="Times New Roman" w:hAnsi="Times New Roman"/>
          <w:bCs/>
          <w:i/>
          <w:spacing w:val="5"/>
          <w:sz w:val="28"/>
        </w:rPr>
        <w:t>e fundamentos razonables, no compartan específicos y singulares estilos de vida.</w:t>
      </w:r>
    </w:p>
    <w:p w:rsidR="00370DF6" w:rsidRPr="00030313" w:rsidRDefault="00030313" w:rsidP="00C61937">
      <w:pPr>
        <w:jc w:val="both"/>
        <w:rPr>
          <w:rFonts w:ascii="Times New Roman" w:hAnsi="Times New Roman"/>
          <w:b/>
          <w:iCs/>
          <w:spacing w:val="5"/>
          <w:sz w:val="28"/>
        </w:rPr>
      </w:pPr>
    </w:p>
    <w:p w:rsidR="00370DF6" w:rsidRPr="00030313" w:rsidRDefault="00030313" w:rsidP="00C61937">
      <w:pPr>
        <w:numPr>
          <w:ilvl w:val="0"/>
          <w:numId w:val="6"/>
        </w:numPr>
        <w:ind w:left="0" w:firstLine="0"/>
        <w:jc w:val="both"/>
        <w:rPr>
          <w:rFonts w:ascii="Times New Roman" w:hAnsi="Times New Roman"/>
          <w:b/>
          <w:iCs/>
          <w:spacing w:val="5"/>
          <w:sz w:val="28"/>
        </w:rPr>
      </w:pPr>
      <w:r w:rsidRPr="00030313">
        <w:rPr>
          <w:rFonts w:ascii="Times New Roman" w:hAnsi="Times New Roman"/>
          <w:bCs/>
          <w:iCs/>
          <w:spacing w:val="5"/>
          <w:sz w:val="28"/>
        </w:rPr>
        <w:t xml:space="preserve">En la Sentencia </w:t>
      </w:r>
      <w:r w:rsidRPr="00030313">
        <w:rPr>
          <w:rFonts w:ascii="Times New Roman" w:hAnsi="Times New Roman"/>
          <w:bCs/>
          <w:iCs/>
          <w:spacing w:val="5"/>
          <w:sz w:val="28"/>
        </w:rPr>
        <w:t xml:space="preserve">T-192 de 2020, la Corte Constitucional </w:t>
      </w:r>
      <w:r w:rsidRPr="00030313">
        <w:rPr>
          <w:rFonts w:ascii="Times New Roman" w:hAnsi="Times New Roman"/>
          <w:bCs/>
          <w:iCs/>
          <w:spacing w:val="5"/>
          <w:sz w:val="28"/>
        </w:rPr>
        <w:t xml:space="preserve">resaltó que, </w:t>
      </w:r>
      <w:r w:rsidRPr="00030313">
        <w:rPr>
          <w:rFonts w:ascii="Times New Roman" w:hAnsi="Times New Roman"/>
          <w:bCs/>
          <w:iCs/>
          <w:spacing w:val="5"/>
          <w:sz w:val="28"/>
        </w:rPr>
        <w:t>el respeto de la dignidad humana, de sus libertades individuales y de la igualdad, comprende que se atiend</w:t>
      </w:r>
      <w:r w:rsidRPr="00030313">
        <w:rPr>
          <w:rFonts w:ascii="Times New Roman" w:hAnsi="Times New Roman"/>
          <w:bCs/>
          <w:iCs/>
          <w:spacing w:val="5"/>
          <w:sz w:val="28"/>
        </w:rPr>
        <w:t xml:space="preserve">a la autodeterminación y el reconocimiento de las personas en </w:t>
      </w:r>
      <w:r w:rsidRPr="00030313">
        <w:rPr>
          <w:rFonts w:ascii="Times New Roman" w:hAnsi="Times New Roman"/>
          <w:bCs/>
          <w:iCs/>
          <w:spacing w:val="5"/>
          <w:sz w:val="28"/>
        </w:rPr>
        <w:t xml:space="preserve">múltiples circunstancias que involucran su identidad de género, y que, a su vez, se manifiestan a través de múltiples expresiones de su individualidad, que </w:t>
      </w:r>
      <w:r w:rsidRPr="00030313">
        <w:rPr>
          <w:rFonts w:ascii="Times New Roman" w:hAnsi="Times New Roman"/>
          <w:b/>
          <w:iCs/>
          <w:spacing w:val="5"/>
          <w:sz w:val="28"/>
        </w:rPr>
        <w:t>no están limitadas</w:t>
      </w:r>
      <w:r w:rsidRPr="00030313">
        <w:rPr>
          <w:rFonts w:ascii="Times New Roman" w:hAnsi="Times New Roman"/>
          <w:bCs/>
          <w:iCs/>
          <w:spacing w:val="5"/>
          <w:sz w:val="28"/>
        </w:rPr>
        <w:t xml:space="preserve"> al nombre </w:t>
      </w:r>
      <w:r w:rsidRPr="00030313">
        <w:rPr>
          <w:rFonts w:ascii="Times New Roman" w:hAnsi="Times New Roman"/>
          <w:bCs/>
          <w:iCs/>
          <w:spacing w:val="5"/>
          <w:sz w:val="28"/>
        </w:rPr>
        <w:t>con el qu</w:t>
      </w:r>
      <w:r w:rsidRPr="00030313">
        <w:rPr>
          <w:rFonts w:ascii="Times New Roman" w:hAnsi="Times New Roman"/>
          <w:bCs/>
          <w:iCs/>
          <w:spacing w:val="5"/>
          <w:sz w:val="28"/>
        </w:rPr>
        <w:t xml:space="preserve">e puede </w:t>
      </w:r>
      <w:r w:rsidRPr="00030313">
        <w:rPr>
          <w:rFonts w:ascii="Times New Roman" w:hAnsi="Times New Roman"/>
          <w:bCs/>
          <w:iCs/>
          <w:spacing w:val="5"/>
          <w:sz w:val="28"/>
        </w:rPr>
        <w:t>reconocerse</w:t>
      </w:r>
      <w:r w:rsidRPr="00030313">
        <w:rPr>
          <w:rFonts w:ascii="Times New Roman" w:hAnsi="Times New Roman"/>
          <w:bCs/>
          <w:iCs/>
          <w:spacing w:val="5"/>
          <w:sz w:val="28"/>
        </w:rPr>
        <w:t xml:space="preserve"> una persona en su documento de identidad. </w:t>
      </w:r>
      <w:r w:rsidRPr="00030313">
        <w:rPr>
          <w:rFonts w:ascii="Times New Roman" w:hAnsi="Times New Roman"/>
          <w:bCs/>
          <w:iCs/>
          <w:spacing w:val="5"/>
          <w:sz w:val="28"/>
        </w:rPr>
        <w:t xml:space="preserve">Es decir, </w:t>
      </w:r>
      <w:r w:rsidRPr="00030313">
        <w:rPr>
          <w:rFonts w:ascii="Times New Roman" w:hAnsi="Times New Roman"/>
          <w:bCs/>
          <w:iCs/>
          <w:spacing w:val="5"/>
          <w:sz w:val="28"/>
        </w:rPr>
        <w:t xml:space="preserve">el cambio de nombre de una persona en su documento de identidad es solo una de las múltiples formas a través de las cuales puede hacer ejercicio de su libre desarrollo de la personalidad y de su identidad de género. </w:t>
      </w:r>
      <w:r w:rsidRPr="00030313">
        <w:rPr>
          <w:rFonts w:ascii="Times New Roman" w:hAnsi="Times New Roman"/>
          <w:bCs/>
          <w:iCs/>
          <w:spacing w:val="5"/>
          <w:sz w:val="28"/>
        </w:rPr>
        <w:t>Esta providencia</w:t>
      </w:r>
      <w:r w:rsidRPr="00030313">
        <w:rPr>
          <w:rStyle w:val="Refdenotaalpie"/>
          <w:rFonts w:ascii="Times New Roman" w:hAnsi="Times New Roman"/>
          <w:bCs/>
          <w:iCs/>
          <w:spacing w:val="5"/>
          <w:sz w:val="28"/>
        </w:rPr>
        <w:footnoteReference w:id="55"/>
      </w:r>
      <w:r w:rsidRPr="00030313">
        <w:rPr>
          <w:rFonts w:ascii="Times New Roman" w:hAnsi="Times New Roman"/>
          <w:bCs/>
          <w:iCs/>
          <w:spacing w:val="5"/>
          <w:sz w:val="28"/>
        </w:rPr>
        <w:t xml:space="preserve"> de la Corte recopiló l</w:t>
      </w:r>
      <w:r w:rsidRPr="00030313">
        <w:rPr>
          <w:rFonts w:ascii="Times New Roman" w:hAnsi="Times New Roman"/>
          <w:bCs/>
          <w:iCs/>
          <w:spacing w:val="5"/>
          <w:sz w:val="28"/>
        </w:rPr>
        <w:t xml:space="preserve">as subreglas </w:t>
      </w:r>
      <w:r w:rsidRPr="00030313">
        <w:rPr>
          <w:rFonts w:ascii="Times New Roman" w:hAnsi="Times New Roman"/>
          <w:bCs/>
          <w:iCs/>
          <w:spacing w:val="5"/>
          <w:sz w:val="28"/>
        </w:rPr>
        <w:t>desarrolladas por la jurisprudencia en torno a la protección de la orientación sexual y la identidad de género diversa</w:t>
      </w:r>
      <w:r w:rsidRPr="00030313">
        <w:rPr>
          <w:rFonts w:ascii="Times New Roman" w:hAnsi="Times New Roman"/>
          <w:bCs/>
          <w:iCs/>
          <w:spacing w:val="5"/>
          <w:sz w:val="28"/>
        </w:rPr>
        <w:t xml:space="preserve"> en múltiples contextos</w:t>
      </w:r>
      <w:r w:rsidRPr="00030313">
        <w:rPr>
          <w:rFonts w:ascii="Times New Roman" w:hAnsi="Times New Roman"/>
          <w:bCs/>
          <w:iCs/>
          <w:spacing w:val="5"/>
          <w:sz w:val="28"/>
        </w:rPr>
        <w:t xml:space="preserve">, </w:t>
      </w:r>
      <w:r w:rsidRPr="00030313">
        <w:rPr>
          <w:rFonts w:ascii="Times New Roman" w:hAnsi="Times New Roman"/>
          <w:bCs/>
          <w:iCs/>
          <w:spacing w:val="5"/>
          <w:sz w:val="28"/>
        </w:rPr>
        <w:t>de la siguiente manera</w:t>
      </w:r>
      <w:r w:rsidRPr="00030313">
        <w:rPr>
          <w:rStyle w:val="Refdenotaalpie"/>
          <w:rFonts w:ascii="Times New Roman" w:hAnsi="Times New Roman"/>
          <w:bCs/>
          <w:iCs/>
          <w:spacing w:val="5"/>
          <w:sz w:val="28"/>
        </w:rPr>
        <w:footnoteReference w:id="56"/>
      </w:r>
      <w:r w:rsidRPr="00030313">
        <w:rPr>
          <w:rFonts w:ascii="Times New Roman" w:hAnsi="Times New Roman"/>
          <w:bCs/>
          <w:iCs/>
          <w:spacing w:val="5"/>
          <w:sz w:val="28"/>
        </w:rPr>
        <w:t>:</w:t>
      </w:r>
    </w:p>
    <w:p w:rsidR="00D8255B" w:rsidRPr="00030313" w:rsidRDefault="00030313" w:rsidP="00C61937">
      <w:pPr>
        <w:jc w:val="both"/>
        <w:rPr>
          <w:rFonts w:ascii="Times New Roman" w:hAnsi="Times New Roman"/>
          <w:bCs/>
          <w:iCs/>
          <w:spacing w:val="5"/>
          <w:sz w:val="28"/>
        </w:rPr>
      </w:pPr>
    </w:p>
    <w:p w:rsidR="00D8255B" w:rsidRPr="00030313" w:rsidRDefault="00030313" w:rsidP="00C61937">
      <w:pPr>
        <w:ind w:left="284" w:right="334"/>
        <w:jc w:val="both"/>
        <w:rPr>
          <w:rFonts w:ascii="Times New Roman" w:hAnsi="Times New Roman"/>
          <w:bCs/>
          <w:i/>
          <w:iCs/>
          <w:spacing w:val="5"/>
          <w:sz w:val="28"/>
        </w:rPr>
      </w:pPr>
      <w:r w:rsidRPr="00030313">
        <w:rPr>
          <w:rFonts w:ascii="Times New Roman" w:hAnsi="Times New Roman"/>
          <w:bCs/>
          <w:i/>
          <w:spacing w:val="5"/>
          <w:sz w:val="28"/>
        </w:rPr>
        <w:t xml:space="preserve">a) </w:t>
      </w:r>
      <w:r w:rsidRPr="00030313">
        <w:rPr>
          <w:rFonts w:ascii="Times New Roman" w:hAnsi="Times New Roman"/>
          <w:bCs/>
          <w:i/>
          <w:iCs/>
          <w:spacing w:val="5"/>
          <w:sz w:val="28"/>
        </w:rPr>
        <w:t xml:space="preserve">La indumentaria y demás aspectos relacionados con la apariencia física </w:t>
      </w:r>
      <w:r w:rsidRPr="00030313">
        <w:rPr>
          <w:rFonts w:ascii="Times New Roman" w:hAnsi="Times New Roman"/>
          <w:bCs/>
          <w:i/>
          <w:iCs/>
          <w:spacing w:val="5"/>
          <w:sz w:val="28"/>
        </w:rPr>
        <w:t>construyen la imagen que expresa la propia identidad, razón por la que esas manifestaciones están protegidas por el derecho al libre desarrollo de la personalidad.</w:t>
      </w:r>
    </w:p>
    <w:p w:rsidR="00F732A0" w:rsidRPr="00030313" w:rsidRDefault="00030313" w:rsidP="00C61937">
      <w:pPr>
        <w:ind w:left="284" w:right="334"/>
        <w:jc w:val="both"/>
        <w:rPr>
          <w:rFonts w:ascii="Times New Roman" w:hAnsi="Times New Roman"/>
          <w:bCs/>
          <w:i/>
          <w:iCs/>
          <w:spacing w:val="5"/>
          <w:sz w:val="28"/>
        </w:rPr>
      </w:pPr>
    </w:p>
    <w:p w:rsidR="00E73B92" w:rsidRPr="00030313" w:rsidRDefault="00030313" w:rsidP="00C61937">
      <w:pPr>
        <w:ind w:left="284" w:right="334"/>
        <w:jc w:val="both"/>
        <w:rPr>
          <w:rFonts w:ascii="Times New Roman" w:hAnsi="Times New Roman"/>
          <w:bCs/>
          <w:i/>
          <w:iCs/>
          <w:spacing w:val="5"/>
          <w:sz w:val="28"/>
        </w:rPr>
      </w:pPr>
      <w:r w:rsidRPr="00030313">
        <w:rPr>
          <w:rFonts w:ascii="Times New Roman" w:hAnsi="Times New Roman"/>
          <w:bCs/>
          <w:i/>
          <w:iCs/>
          <w:spacing w:val="5"/>
          <w:sz w:val="28"/>
        </w:rPr>
        <w:t>(…)</w:t>
      </w:r>
    </w:p>
    <w:p w:rsidR="008302B5" w:rsidRPr="00030313" w:rsidRDefault="00030313" w:rsidP="00C61937">
      <w:pPr>
        <w:ind w:left="284" w:right="334"/>
        <w:jc w:val="both"/>
        <w:rPr>
          <w:rFonts w:ascii="Times New Roman" w:hAnsi="Times New Roman"/>
          <w:bCs/>
          <w:i/>
          <w:iCs/>
          <w:spacing w:val="5"/>
          <w:sz w:val="28"/>
        </w:rPr>
      </w:pPr>
    </w:p>
    <w:p w:rsidR="008302B5" w:rsidRPr="00030313" w:rsidRDefault="00030313" w:rsidP="00C61937">
      <w:pPr>
        <w:ind w:left="284" w:right="334"/>
        <w:jc w:val="both"/>
        <w:rPr>
          <w:rFonts w:ascii="Times New Roman" w:hAnsi="Times New Roman"/>
          <w:bCs/>
          <w:i/>
          <w:iCs/>
          <w:spacing w:val="5"/>
          <w:sz w:val="28"/>
        </w:rPr>
      </w:pPr>
      <w:r w:rsidRPr="00030313">
        <w:rPr>
          <w:rFonts w:ascii="Times New Roman" w:hAnsi="Times New Roman"/>
          <w:bCs/>
          <w:i/>
          <w:iCs/>
          <w:spacing w:val="5"/>
          <w:sz w:val="28"/>
        </w:rPr>
        <w:t xml:space="preserve">c) </w:t>
      </w:r>
      <w:r w:rsidRPr="00030313">
        <w:rPr>
          <w:rFonts w:ascii="Times New Roman" w:hAnsi="Times New Roman"/>
          <w:bCs/>
          <w:i/>
          <w:iCs/>
          <w:spacing w:val="5"/>
          <w:sz w:val="28"/>
        </w:rPr>
        <w:t>La identidad de género no guarda una relación necesaria con el nombre legal, ni con los documentos que reflejan dicho nombre, sino que son las personas quienes establecen su identidad a través de los elementos y acciones que estimen pertinentes y suficient</w:t>
      </w:r>
      <w:r w:rsidRPr="00030313">
        <w:rPr>
          <w:rFonts w:ascii="Times New Roman" w:hAnsi="Times New Roman"/>
          <w:bCs/>
          <w:i/>
          <w:iCs/>
          <w:spacing w:val="5"/>
          <w:sz w:val="28"/>
        </w:rPr>
        <w:t>es para ese propósito. En consecuencia, un trato digno debe atender al auto-reconocimiento de los sujetos.</w:t>
      </w:r>
    </w:p>
    <w:p w:rsidR="003A1D26" w:rsidRPr="00030313" w:rsidRDefault="00030313" w:rsidP="00C61937">
      <w:pPr>
        <w:ind w:left="284" w:right="334"/>
        <w:jc w:val="both"/>
        <w:rPr>
          <w:rFonts w:ascii="Times New Roman" w:hAnsi="Times New Roman"/>
          <w:bCs/>
          <w:i/>
          <w:iCs/>
          <w:spacing w:val="5"/>
          <w:sz w:val="28"/>
        </w:rPr>
      </w:pPr>
    </w:p>
    <w:p w:rsidR="003A1D26" w:rsidRPr="00030313" w:rsidRDefault="00030313" w:rsidP="00C61937">
      <w:pPr>
        <w:ind w:left="284" w:right="334"/>
        <w:jc w:val="both"/>
        <w:rPr>
          <w:rFonts w:ascii="Times New Roman" w:hAnsi="Times New Roman"/>
          <w:bCs/>
          <w:i/>
          <w:iCs/>
          <w:spacing w:val="5"/>
          <w:sz w:val="28"/>
        </w:rPr>
      </w:pPr>
      <w:r w:rsidRPr="00030313">
        <w:rPr>
          <w:rFonts w:ascii="Times New Roman" w:hAnsi="Times New Roman"/>
          <w:bCs/>
          <w:i/>
          <w:iCs/>
          <w:spacing w:val="5"/>
          <w:sz w:val="28"/>
        </w:rPr>
        <w:t xml:space="preserve">d) </w:t>
      </w:r>
      <w:r w:rsidRPr="00030313">
        <w:rPr>
          <w:rFonts w:ascii="Times New Roman" w:hAnsi="Times New Roman"/>
          <w:bCs/>
          <w:i/>
          <w:iCs/>
          <w:spacing w:val="5"/>
          <w:sz w:val="28"/>
        </w:rPr>
        <w:t>Como quiera que el nombre es un elemento distintivo fuertemente ligado con la construcción de la identidad individual, las decisiones relacionada</w:t>
      </w:r>
      <w:r w:rsidRPr="00030313">
        <w:rPr>
          <w:rFonts w:ascii="Times New Roman" w:hAnsi="Times New Roman"/>
          <w:bCs/>
          <w:i/>
          <w:iCs/>
          <w:spacing w:val="5"/>
          <w:sz w:val="28"/>
        </w:rPr>
        <w:t>s con dicho atributo son manifestaciones del derecho al libre desarrollo de la personalidad y deben ser respetadas.</w:t>
      </w:r>
    </w:p>
    <w:p w:rsidR="0087460C" w:rsidRPr="00030313" w:rsidRDefault="00030313" w:rsidP="00C61937">
      <w:pPr>
        <w:jc w:val="both"/>
        <w:rPr>
          <w:rFonts w:ascii="Times New Roman" w:hAnsi="Times New Roman"/>
          <w:b/>
          <w:iCs/>
          <w:spacing w:val="5"/>
          <w:sz w:val="28"/>
        </w:rPr>
      </w:pPr>
    </w:p>
    <w:p w:rsidR="00AA2AC7" w:rsidRPr="00030313" w:rsidRDefault="00030313" w:rsidP="00C61937">
      <w:pPr>
        <w:numPr>
          <w:ilvl w:val="0"/>
          <w:numId w:val="6"/>
        </w:numPr>
        <w:ind w:left="0" w:firstLine="0"/>
        <w:jc w:val="both"/>
        <w:rPr>
          <w:rFonts w:ascii="Times New Roman" w:hAnsi="Times New Roman"/>
          <w:b/>
          <w:iCs/>
          <w:spacing w:val="5"/>
          <w:sz w:val="28"/>
        </w:rPr>
      </w:pPr>
      <w:r w:rsidRPr="00030313">
        <w:rPr>
          <w:rFonts w:ascii="Times New Roman" w:hAnsi="Times New Roman"/>
          <w:bCs/>
          <w:iCs/>
          <w:spacing w:val="5"/>
          <w:sz w:val="28"/>
        </w:rPr>
        <w:t xml:space="preserve">Las subreglas diseñadas por la Corte </w:t>
      </w:r>
      <w:r w:rsidRPr="00030313">
        <w:rPr>
          <w:rFonts w:ascii="Times New Roman" w:hAnsi="Times New Roman"/>
          <w:bCs/>
          <w:iCs/>
          <w:spacing w:val="5"/>
          <w:sz w:val="28"/>
        </w:rPr>
        <w:t>h</w:t>
      </w:r>
      <w:r w:rsidRPr="00030313">
        <w:rPr>
          <w:rFonts w:ascii="Times New Roman" w:hAnsi="Times New Roman"/>
          <w:bCs/>
          <w:iCs/>
          <w:spacing w:val="5"/>
          <w:sz w:val="28"/>
        </w:rPr>
        <w:t>an</w:t>
      </w:r>
      <w:r w:rsidRPr="00030313">
        <w:rPr>
          <w:rFonts w:ascii="Times New Roman" w:hAnsi="Times New Roman"/>
          <w:bCs/>
          <w:iCs/>
          <w:spacing w:val="5"/>
          <w:sz w:val="28"/>
        </w:rPr>
        <w:t xml:space="preserve"> sido</w:t>
      </w:r>
      <w:r w:rsidRPr="00030313">
        <w:rPr>
          <w:rFonts w:ascii="Times New Roman" w:hAnsi="Times New Roman"/>
          <w:bCs/>
          <w:iCs/>
          <w:spacing w:val="5"/>
          <w:sz w:val="28"/>
        </w:rPr>
        <w:t xml:space="preserve"> producto de</w:t>
      </w:r>
      <w:r w:rsidRPr="00030313">
        <w:rPr>
          <w:rFonts w:ascii="Times New Roman" w:hAnsi="Times New Roman"/>
          <w:bCs/>
          <w:iCs/>
          <w:spacing w:val="5"/>
          <w:sz w:val="28"/>
        </w:rPr>
        <w:t xml:space="preserve"> ampl</w:t>
      </w:r>
      <w:r w:rsidRPr="00030313">
        <w:rPr>
          <w:rFonts w:ascii="Times New Roman" w:hAnsi="Times New Roman"/>
          <w:bCs/>
          <w:iCs/>
          <w:spacing w:val="5"/>
          <w:sz w:val="28"/>
        </w:rPr>
        <w:t>io</w:t>
      </w:r>
      <w:r w:rsidRPr="00030313">
        <w:rPr>
          <w:rFonts w:ascii="Times New Roman" w:hAnsi="Times New Roman"/>
          <w:bCs/>
          <w:iCs/>
          <w:spacing w:val="5"/>
          <w:sz w:val="28"/>
        </w:rPr>
        <w:t>s</w:t>
      </w:r>
      <w:r w:rsidRPr="00030313">
        <w:rPr>
          <w:rFonts w:ascii="Times New Roman" w:hAnsi="Times New Roman"/>
          <w:bCs/>
          <w:iCs/>
          <w:spacing w:val="5"/>
          <w:sz w:val="28"/>
        </w:rPr>
        <w:t xml:space="preserve"> análisis, cuestionamientos y reflexiones respecto de</w:t>
      </w:r>
      <w:r w:rsidRPr="00030313">
        <w:rPr>
          <w:rFonts w:ascii="Times New Roman" w:hAnsi="Times New Roman"/>
          <w:bCs/>
          <w:iCs/>
          <w:spacing w:val="5"/>
          <w:sz w:val="28"/>
        </w:rPr>
        <w:t xml:space="preserve"> </w:t>
      </w:r>
      <w:r w:rsidRPr="00030313">
        <w:rPr>
          <w:rFonts w:ascii="Times New Roman" w:hAnsi="Times New Roman"/>
          <w:bCs/>
          <w:iCs/>
          <w:spacing w:val="5"/>
          <w:sz w:val="28"/>
        </w:rPr>
        <w:t xml:space="preserve">las dificultades </w:t>
      </w:r>
      <w:r w:rsidRPr="00030313">
        <w:rPr>
          <w:rFonts w:ascii="Times New Roman" w:hAnsi="Times New Roman"/>
          <w:bCs/>
          <w:iCs/>
          <w:spacing w:val="5"/>
          <w:sz w:val="28"/>
        </w:rPr>
        <w:t>que, históricamente, han atravesado las personas pertenecientes a un sector de la sociedad que se identifica</w:t>
      </w:r>
      <w:r w:rsidRPr="00030313">
        <w:rPr>
          <w:rFonts w:ascii="Times New Roman" w:hAnsi="Times New Roman"/>
          <w:bCs/>
          <w:iCs/>
          <w:spacing w:val="5"/>
          <w:sz w:val="28"/>
        </w:rPr>
        <w:t>, en su género y sexo, de forma diversa.</w:t>
      </w:r>
      <w:r w:rsidRPr="00030313">
        <w:rPr>
          <w:rFonts w:ascii="Times New Roman" w:hAnsi="Times New Roman"/>
          <w:bCs/>
          <w:iCs/>
          <w:spacing w:val="5"/>
          <w:sz w:val="28"/>
        </w:rPr>
        <w:t xml:space="preserve"> La evolución de la jurisprudencia de la Corte ha apuntado</w:t>
      </w:r>
      <w:r w:rsidRPr="00030313">
        <w:rPr>
          <w:rFonts w:ascii="Times New Roman" w:hAnsi="Times New Roman"/>
          <w:bCs/>
          <w:iCs/>
          <w:spacing w:val="5"/>
          <w:sz w:val="28"/>
        </w:rPr>
        <w:t xml:space="preserve"> </w:t>
      </w:r>
      <w:r w:rsidRPr="00030313">
        <w:rPr>
          <w:rFonts w:ascii="Times New Roman" w:hAnsi="Times New Roman"/>
          <w:bCs/>
          <w:iCs/>
          <w:spacing w:val="5"/>
          <w:sz w:val="28"/>
        </w:rPr>
        <w:t xml:space="preserve">a </w:t>
      </w:r>
      <w:r w:rsidRPr="00030313">
        <w:rPr>
          <w:rFonts w:ascii="Times New Roman" w:hAnsi="Times New Roman"/>
          <w:bCs/>
          <w:iCs/>
          <w:spacing w:val="5"/>
          <w:sz w:val="28"/>
        </w:rPr>
        <w:t>repensarse las categorías y conceptos con los c</w:t>
      </w:r>
      <w:r w:rsidRPr="00030313">
        <w:rPr>
          <w:rFonts w:ascii="Times New Roman" w:hAnsi="Times New Roman"/>
          <w:bCs/>
          <w:iCs/>
          <w:spacing w:val="5"/>
          <w:sz w:val="28"/>
        </w:rPr>
        <w:t xml:space="preserve">uales se identifica la sociedad, </w:t>
      </w:r>
      <w:r w:rsidRPr="00030313">
        <w:rPr>
          <w:rFonts w:ascii="Times New Roman" w:hAnsi="Times New Roman"/>
          <w:bCs/>
          <w:iCs/>
          <w:spacing w:val="5"/>
          <w:sz w:val="28"/>
        </w:rPr>
        <w:t>así como</w:t>
      </w:r>
      <w:r w:rsidRPr="00030313">
        <w:rPr>
          <w:rFonts w:ascii="Times New Roman" w:hAnsi="Times New Roman"/>
          <w:bCs/>
          <w:iCs/>
          <w:spacing w:val="5"/>
          <w:sz w:val="28"/>
        </w:rPr>
        <w:t xml:space="preserve"> su constante diálogo y tensión con l</w:t>
      </w:r>
      <w:r w:rsidRPr="00030313">
        <w:rPr>
          <w:rFonts w:ascii="Times New Roman" w:hAnsi="Times New Roman"/>
          <w:bCs/>
          <w:iCs/>
          <w:spacing w:val="5"/>
          <w:sz w:val="28"/>
        </w:rPr>
        <w:t xml:space="preserve">a forma como se comprenden los derechos fundamentales y su contenido </w:t>
      </w:r>
      <w:r w:rsidRPr="00030313">
        <w:rPr>
          <w:rFonts w:ascii="Times New Roman" w:hAnsi="Times New Roman"/>
          <w:bCs/>
          <w:iCs/>
          <w:spacing w:val="5"/>
          <w:sz w:val="28"/>
        </w:rPr>
        <w:t>filosófico-jurídico</w:t>
      </w:r>
      <w:r w:rsidRPr="00030313">
        <w:rPr>
          <w:rFonts w:ascii="Times New Roman" w:hAnsi="Times New Roman"/>
          <w:bCs/>
          <w:iCs/>
          <w:spacing w:val="5"/>
          <w:sz w:val="28"/>
        </w:rPr>
        <w:t xml:space="preserve"> </w:t>
      </w:r>
      <w:r w:rsidRPr="00030313">
        <w:rPr>
          <w:rFonts w:ascii="Times New Roman" w:hAnsi="Times New Roman"/>
          <w:bCs/>
          <w:iCs/>
          <w:spacing w:val="5"/>
          <w:sz w:val="28"/>
        </w:rPr>
        <w:t>para que estos respondan, efectivamente, a la satisfacción de las necesidades de las pobl</w:t>
      </w:r>
      <w:r w:rsidRPr="00030313">
        <w:rPr>
          <w:rFonts w:ascii="Times New Roman" w:hAnsi="Times New Roman"/>
          <w:bCs/>
          <w:iCs/>
          <w:spacing w:val="5"/>
          <w:sz w:val="28"/>
        </w:rPr>
        <w:t>aciones históricamente marginadas</w:t>
      </w:r>
      <w:r w:rsidRPr="00030313">
        <w:rPr>
          <w:rStyle w:val="Refdenotaalpie"/>
          <w:rFonts w:ascii="Times New Roman" w:hAnsi="Times New Roman"/>
          <w:bCs/>
          <w:iCs/>
          <w:spacing w:val="5"/>
          <w:sz w:val="28"/>
        </w:rPr>
        <w:footnoteReference w:id="57"/>
      </w:r>
      <w:r w:rsidRPr="00030313">
        <w:rPr>
          <w:rFonts w:ascii="Times New Roman" w:hAnsi="Times New Roman"/>
          <w:bCs/>
          <w:iCs/>
          <w:spacing w:val="5"/>
          <w:sz w:val="28"/>
        </w:rPr>
        <w:t>.</w:t>
      </w:r>
    </w:p>
    <w:p w:rsidR="00294194" w:rsidRPr="00030313" w:rsidRDefault="00030313" w:rsidP="00C61937">
      <w:pPr>
        <w:jc w:val="both"/>
        <w:rPr>
          <w:rFonts w:ascii="Times New Roman" w:hAnsi="Times New Roman"/>
          <w:b/>
          <w:iCs/>
          <w:spacing w:val="5"/>
          <w:sz w:val="28"/>
        </w:rPr>
      </w:pPr>
    </w:p>
    <w:p w:rsidR="00D16852" w:rsidRPr="00030313" w:rsidRDefault="00030313" w:rsidP="00C61937">
      <w:pPr>
        <w:numPr>
          <w:ilvl w:val="0"/>
          <w:numId w:val="6"/>
        </w:numPr>
        <w:ind w:left="0" w:firstLine="0"/>
        <w:jc w:val="both"/>
        <w:rPr>
          <w:rFonts w:ascii="Times New Roman" w:hAnsi="Times New Roman"/>
          <w:b/>
          <w:iCs/>
          <w:spacing w:val="5"/>
          <w:sz w:val="28"/>
        </w:rPr>
      </w:pPr>
      <w:r w:rsidRPr="00030313">
        <w:rPr>
          <w:rFonts w:ascii="Times New Roman" w:hAnsi="Times New Roman"/>
          <w:bCs/>
          <w:iCs/>
          <w:spacing w:val="5"/>
          <w:sz w:val="28"/>
        </w:rPr>
        <w:t xml:space="preserve">Posteriormente, en la Sentencia SU-440 de 2021 </w:t>
      </w:r>
      <w:r w:rsidRPr="00030313">
        <w:rPr>
          <w:rFonts w:ascii="Times New Roman" w:hAnsi="Times New Roman"/>
          <w:bCs/>
          <w:iCs/>
          <w:spacing w:val="5"/>
          <w:sz w:val="28"/>
        </w:rPr>
        <w:t xml:space="preserve">se </w:t>
      </w:r>
      <w:r w:rsidRPr="00030313">
        <w:rPr>
          <w:rFonts w:ascii="Times New Roman" w:hAnsi="Times New Roman"/>
          <w:bCs/>
          <w:iCs/>
          <w:spacing w:val="5"/>
          <w:sz w:val="28"/>
        </w:rPr>
        <w:t>determinó que “</w:t>
      </w:r>
      <w:r w:rsidRPr="00030313">
        <w:rPr>
          <w:rFonts w:ascii="Times New Roman" w:hAnsi="Times New Roman"/>
          <w:bCs/>
          <w:i/>
          <w:spacing w:val="5"/>
          <w:sz w:val="28"/>
        </w:rPr>
        <w:t xml:space="preserve">el derecho fundamental </w:t>
      </w:r>
      <w:r w:rsidRPr="00030313">
        <w:rPr>
          <w:rFonts w:ascii="Times New Roman" w:hAnsi="Times New Roman"/>
          <w:bCs/>
          <w:i/>
          <w:spacing w:val="5"/>
          <w:sz w:val="28"/>
        </w:rPr>
        <w:t xml:space="preserve">a la identidad de género es el derecho que le asiste a toda persona de construir, desarrollar y expresar su vivencia de género de </w:t>
      </w:r>
      <w:r w:rsidRPr="00030313">
        <w:rPr>
          <w:rFonts w:ascii="Times New Roman" w:hAnsi="Times New Roman"/>
          <w:bCs/>
          <w:i/>
          <w:spacing w:val="5"/>
          <w:sz w:val="28"/>
        </w:rPr>
        <w:t>manera libre y autónoma, así como de reivindicar para sí la categoría social identitaria</w:t>
      </w:r>
      <w:r w:rsidRPr="00030313">
        <w:rPr>
          <w:rFonts w:ascii="Times New Roman" w:hAnsi="Times New Roman"/>
          <w:bCs/>
          <w:i/>
          <w:iCs/>
          <w:spacing w:val="5"/>
          <w:sz w:val="28"/>
        </w:rPr>
        <w:t> </w:t>
      </w:r>
      <w:r w:rsidRPr="00030313">
        <w:rPr>
          <w:rFonts w:ascii="Times New Roman" w:hAnsi="Times New Roman"/>
          <w:bCs/>
          <w:i/>
          <w:spacing w:val="5"/>
          <w:sz w:val="28"/>
        </w:rPr>
        <w:t>que mejor la represente</w:t>
      </w:r>
      <w:r w:rsidRPr="00030313">
        <w:rPr>
          <w:rFonts w:ascii="Times New Roman" w:hAnsi="Times New Roman"/>
          <w:bCs/>
          <w:i/>
          <w:spacing w:val="5"/>
          <w:sz w:val="28"/>
        </w:rPr>
        <w:t>”</w:t>
      </w:r>
      <w:r w:rsidRPr="00030313">
        <w:rPr>
          <w:rStyle w:val="Refdenotaalpie"/>
          <w:rFonts w:ascii="Times New Roman" w:hAnsi="Times New Roman"/>
          <w:bCs/>
          <w:iCs/>
          <w:spacing w:val="5"/>
          <w:sz w:val="28"/>
        </w:rPr>
        <w:footnoteReference w:id="58"/>
      </w:r>
      <w:r w:rsidRPr="00030313">
        <w:rPr>
          <w:rFonts w:ascii="Times New Roman" w:hAnsi="Times New Roman"/>
          <w:bCs/>
          <w:i/>
          <w:spacing w:val="5"/>
          <w:sz w:val="28"/>
        </w:rPr>
        <w:t>.</w:t>
      </w:r>
      <w:r w:rsidRPr="00030313">
        <w:rPr>
          <w:rFonts w:ascii="Times New Roman" w:hAnsi="Times New Roman"/>
          <w:bCs/>
          <w:i/>
          <w:spacing w:val="5"/>
          <w:sz w:val="28"/>
        </w:rPr>
        <w:t xml:space="preserve"> </w:t>
      </w:r>
      <w:r w:rsidRPr="00030313">
        <w:rPr>
          <w:rFonts w:ascii="Times New Roman" w:hAnsi="Times New Roman"/>
          <w:bCs/>
          <w:iCs/>
          <w:spacing w:val="5"/>
          <w:sz w:val="28"/>
        </w:rPr>
        <w:t>Además, advirtió que la identidad de género “</w:t>
      </w:r>
      <w:r w:rsidRPr="00030313">
        <w:rPr>
          <w:rFonts w:ascii="Times New Roman" w:hAnsi="Times New Roman"/>
          <w:bCs/>
          <w:i/>
          <w:spacing w:val="5"/>
          <w:sz w:val="28"/>
        </w:rPr>
        <w:t xml:space="preserve">es la vivencia </w:t>
      </w:r>
      <w:r w:rsidRPr="00030313">
        <w:rPr>
          <w:rFonts w:ascii="Times New Roman" w:hAnsi="Times New Roman"/>
          <w:bCs/>
          <w:i/>
          <w:spacing w:val="5"/>
          <w:sz w:val="28"/>
        </w:rPr>
        <w:t xml:space="preserve">interna e individual del género tal como cada persona la siente profundamente, </w:t>
      </w:r>
      <w:r w:rsidRPr="00030313">
        <w:rPr>
          <w:rFonts w:ascii="Times New Roman" w:hAnsi="Times New Roman"/>
          <w:bCs/>
          <w:i/>
          <w:spacing w:val="5"/>
          <w:sz w:val="28"/>
        </w:rPr>
        <w:t>la cual puede corresponder o no con el sexo asignado al momento del nacimiento. Consiste en la experiencia personal y social de ser hombre, mujer o de cualquier género diverso”</w:t>
      </w:r>
      <w:r w:rsidRPr="00030313">
        <w:rPr>
          <w:rStyle w:val="Refdenotaalpie"/>
          <w:rFonts w:ascii="Times New Roman" w:hAnsi="Times New Roman"/>
          <w:bCs/>
          <w:iCs/>
          <w:spacing w:val="5"/>
          <w:sz w:val="28"/>
        </w:rPr>
        <w:footnoteReference w:id="59"/>
      </w:r>
      <w:r w:rsidRPr="00030313">
        <w:rPr>
          <w:rFonts w:ascii="Times New Roman" w:hAnsi="Times New Roman"/>
          <w:bCs/>
          <w:i/>
          <w:spacing w:val="5"/>
          <w:sz w:val="28"/>
        </w:rPr>
        <w:t>.</w:t>
      </w:r>
      <w:r w:rsidRPr="00030313">
        <w:rPr>
          <w:rFonts w:ascii="Times New Roman" w:hAnsi="Times New Roman"/>
          <w:bCs/>
          <w:i/>
          <w:spacing w:val="5"/>
          <w:sz w:val="28"/>
        </w:rPr>
        <w:t xml:space="preserve"> </w:t>
      </w:r>
      <w:r w:rsidRPr="00030313">
        <w:rPr>
          <w:rFonts w:ascii="Times New Roman" w:hAnsi="Times New Roman"/>
          <w:bCs/>
          <w:iCs/>
          <w:spacing w:val="5"/>
          <w:sz w:val="28"/>
        </w:rPr>
        <w:t>La identidad de género es un elemento “</w:t>
      </w:r>
      <w:r w:rsidRPr="00030313">
        <w:rPr>
          <w:rFonts w:ascii="Times New Roman" w:hAnsi="Times New Roman"/>
          <w:bCs/>
          <w:i/>
          <w:spacing w:val="5"/>
          <w:sz w:val="28"/>
        </w:rPr>
        <w:t>constitutivo y constituyente”</w:t>
      </w:r>
      <w:r w:rsidRPr="00030313">
        <w:rPr>
          <w:rStyle w:val="Refdenotaalpie"/>
          <w:rFonts w:ascii="Times New Roman" w:hAnsi="Times New Roman"/>
          <w:bCs/>
          <w:i/>
          <w:spacing w:val="5"/>
          <w:sz w:val="28"/>
        </w:rPr>
        <w:footnoteReference w:id="60"/>
      </w:r>
      <w:r w:rsidRPr="00030313">
        <w:rPr>
          <w:rFonts w:ascii="Times New Roman" w:hAnsi="Times New Roman"/>
          <w:bCs/>
          <w:i/>
          <w:spacing w:val="5"/>
          <w:sz w:val="28"/>
        </w:rPr>
        <w:t xml:space="preserve"> </w:t>
      </w:r>
      <w:r w:rsidRPr="00030313">
        <w:rPr>
          <w:rFonts w:ascii="Times New Roman" w:hAnsi="Times New Roman"/>
          <w:bCs/>
          <w:iCs/>
          <w:spacing w:val="5"/>
          <w:sz w:val="28"/>
        </w:rPr>
        <w:t>de la d</w:t>
      </w:r>
      <w:r w:rsidRPr="00030313">
        <w:rPr>
          <w:rFonts w:ascii="Times New Roman" w:hAnsi="Times New Roman"/>
          <w:bCs/>
          <w:iCs/>
          <w:spacing w:val="5"/>
          <w:sz w:val="28"/>
        </w:rPr>
        <w:t>efinición del plan de vida de las personas</w:t>
      </w:r>
      <w:r w:rsidRPr="00030313">
        <w:rPr>
          <w:rFonts w:ascii="Times New Roman" w:hAnsi="Times New Roman"/>
          <w:bCs/>
          <w:iCs/>
          <w:spacing w:val="5"/>
          <w:sz w:val="28"/>
        </w:rPr>
        <w:t xml:space="preserve">, pues la posibilidad misma de desarrollar de forma autónoma la identidad, es una expresión de la libertad </w:t>
      </w:r>
      <w:r w:rsidRPr="00030313">
        <w:rPr>
          <w:rFonts w:ascii="Times New Roman" w:hAnsi="Times New Roman"/>
          <w:bCs/>
          <w:iCs/>
          <w:spacing w:val="5"/>
          <w:sz w:val="28"/>
        </w:rPr>
        <w:t>que reconoce la individualidad del ser humano y su posibilidad de autogobernarse</w:t>
      </w:r>
      <w:r w:rsidRPr="00030313">
        <w:rPr>
          <w:rStyle w:val="Refdenotaalpie"/>
          <w:rFonts w:ascii="Times New Roman" w:hAnsi="Times New Roman"/>
          <w:bCs/>
          <w:iCs/>
          <w:spacing w:val="5"/>
          <w:sz w:val="28"/>
        </w:rPr>
        <w:footnoteReference w:id="61"/>
      </w:r>
      <w:r w:rsidRPr="00030313">
        <w:rPr>
          <w:rFonts w:ascii="Times New Roman" w:hAnsi="Times New Roman"/>
          <w:bCs/>
          <w:iCs/>
          <w:spacing w:val="5"/>
          <w:sz w:val="28"/>
        </w:rPr>
        <w:t>.</w:t>
      </w:r>
      <w:r w:rsidRPr="00030313">
        <w:rPr>
          <w:rFonts w:ascii="Times New Roman" w:hAnsi="Times New Roman"/>
          <w:bCs/>
          <w:iCs/>
          <w:spacing w:val="5"/>
          <w:sz w:val="28"/>
        </w:rPr>
        <w:t xml:space="preserve"> </w:t>
      </w:r>
      <w:r w:rsidRPr="00030313">
        <w:rPr>
          <w:rFonts w:ascii="Times New Roman" w:hAnsi="Times New Roman"/>
          <w:bCs/>
          <w:iCs/>
          <w:spacing w:val="5"/>
          <w:sz w:val="28"/>
        </w:rPr>
        <w:t xml:space="preserve">Esta providencia hizo especial énfasis en la </w:t>
      </w:r>
      <w:r w:rsidRPr="00030313">
        <w:rPr>
          <w:rFonts w:ascii="Times New Roman" w:hAnsi="Times New Roman"/>
          <w:bCs/>
          <w:iCs/>
          <w:spacing w:val="5"/>
          <w:sz w:val="28"/>
        </w:rPr>
        <w:t xml:space="preserve">prohibición de discriminación en razón del género, </w:t>
      </w:r>
      <w:r w:rsidRPr="00030313">
        <w:rPr>
          <w:rFonts w:ascii="Times New Roman" w:hAnsi="Times New Roman"/>
          <w:bCs/>
          <w:iCs/>
          <w:spacing w:val="5"/>
          <w:sz w:val="28"/>
        </w:rPr>
        <w:t>pues la identidad de género es una categoría protegida por la cláusula general de igualdad establecida en el artículo 13 de la Constitución Política</w:t>
      </w:r>
      <w:r w:rsidRPr="00030313">
        <w:rPr>
          <w:rFonts w:ascii="Times New Roman" w:hAnsi="Times New Roman"/>
          <w:bCs/>
          <w:iCs/>
          <w:spacing w:val="5"/>
          <w:sz w:val="28"/>
        </w:rPr>
        <w:t>, por lo cua</w:t>
      </w:r>
      <w:r w:rsidRPr="00030313">
        <w:rPr>
          <w:rFonts w:ascii="Times New Roman" w:hAnsi="Times New Roman"/>
          <w:bCs/>
          <w:iCs/>
          <w:spacing w:val="5"/>
          <w:sz w:val="28"/>
        </w:rPr>
        <w:t>l se entiende que es un criterio sospechoso de disc</w:t>
      </w:r>
      <w:r w:rsidRPr="00030313">
        <w:rPr>
          <w:rFonts w:ascii="Times New Roman" w:hAnsi="Times New Roman"/>
          <w:bCs/>
          <w:iCs/>
          <w:spacing w:val="5"/>
          <w:sz w:val="28"/>
        </w:rPr>
        <w:t xml:space="preserve">riminación. </w:t>
      </w:r>
      <w:r w:rsidRPr="00030313">
        <w:rPr>
          <w:rFonts w:ascii="Times New Roman" w:hAnsi="Times New Roman"/>
          <w:bCs/>
          <w:iCs/>
          <w:spacing w:val="5"/>
          <w:sz w:val="28"/>
        </w:rPr>
        <w:t>Así, ante cualquier trato diferenciado</w:t>
      </w:r>
      <w:r w:rsidRPr="00030313">
        <w:rPr>
          <w:rFonts w:ascii="Times New Roman" w:hAnsi="Times New Roman"/>
          <w:bCs/>
          <w:iCs/>
          <w:spacing w:val="5"/>
          <w:sz w:val="28"/>
        </w:rPr>
        <w:t>, la identidad de género no puede ser usada para efectuar una distribución de bienes, derechos o cargas sociales</w:t>
      </w:r>
      <w:r w:rsidRPr="00030313">
        <w:rPr>
          <w:rFonts w:ascii="Times New Roman" w:hAnsi="Times New Roman"/>
          <w:bCs/>
          <w:iCs/>
          <w:spacing w:val="5"/>
          <w:sz w:val="28"/>
        </w:rPr>
        <w:t>, pues dicho trato diferenciado puede ocasi</w:t>
      </w:r>
      <w:r w:rsidRPr="00030313">
        <w:rPr>
          <w:rFonts w:ascii="Times New Roman" w:hAnsi="Times New Roman"/>
          <w:bCs/>
          <w:iCs/>
          <w:spacing w:val="5"/>
          <w:sz w:val="28"/>
        </w:rPr>
        <w:t xml:space="preserve">onar una lesión al efectivo ejercicio de los derechos fundamentales de la población con identidad de género diversa. </w:t>
      </w:r>
      <w:r w:rsidRPr="00030313">
        <w:rPr>
          <w:rFonts w:ascii="Times New Roman" w:hAnsi="Times New Roman"/>
          <w:bCs/>
          <w:iCs/>
          <w:spacing w:val="5"/>
          <w:sz w:val="28"/>
        </w:rPr>
        <w:t>En consecuencia, “</w:t>
      </w:r>
      <w:r w:rsidRPr="00030313">
        <w:rPr>
          <w:rFonts w:ascii="Times New Roman" w:hAnsi="Times New Roman"/>
          <w:bCs/>
          <w:i/>
          <w:spacing w:val="5"/>
          <w:sz w:val="28"/>
        </w:rPr>
        <w:t xml:space="preserve">[u]na diferencia de trato legal o administrativa fundada en la identidad de género sólo será constitucional si existen </w:t>
      </w:r>
      <w:r w:rsidRPr="00030313">
        <w:rPr>
          <w:rFonts w:ascii="Times New Roman" w:hAnsi="Times New Roman"/>
          <w:bCs/>
          <w:i/>
          <w:spacing w:val="5"/>
          <w:sz w:val="28"/>
        </w:rPr>
        <w:t>po</w:t>
      </w:r>
      <w:r w:rsidRPr="00030313">
        <w:rPr>
          <w:rFonts w:ascii="Times New Roman" w:hAnsi="Times New Roman"/>
          <w:bCs/>
          <w:i/>
          <w:spacing w:val="5"/>
          <w:sz w:val="28"/>
        </w:rPr>
        <w:t>derosas razones objetivas que la justifiquen y esta supera las exigencias del juicio estricto de igualda.”</w:t>
      </w:r>
      <w:r w:rsidRPr="00030313">
        <w:rPr>
          <w:rStyle w:val="Refdenotaalpie"/>
          <w:rFonts w:ascii="Times New Roman" w:hAnsi="Times New Roman"/>
          <w:bCs/>
          <w:iCs/>
          <w:spacing w:val="5"/>
          <w:sz w:val="28"/>
        </w:rPr>
        <w:footnoteReference w:id="62"/>
      </w:r>
      <w:r w:rsidRPr="00030313">
        <w:rPr>
          <w:rFonts w:ascii="Times New Roman" w:hAnsi="Times New Roman"/>
          <w:bCs/>
          <w:i/>
          <w:spacing w:val="5"/>
          <w:sz w:val="28"/>
        </w:rPr>
        <w:t>.</w:t>
      </w:r>
      <w:r w:rsidRPr="00030313">
        <w:rPr>
          <w:rFonts w:ascii="Times New Roman" w:hAnsi="Times New Roman"/>
          <w:b/>
          <w:iCs/>
          <w:spacing w:val="5"/>
          <w:sz w:val="28"/>
        </w:rPr>
        <w:t xml:space="preserve"> </w:t>
      </w:r>
      <w:r w:rsidRPr="00030313">
        <w:rPr>
          <w:rFonts w:ascii="Times New Roman" w:hAnsi="Times New Roman"/>
          <w:bCs/>
          <w:iCs/>
          <w:spacing w:val="5"/>
          <w:sz w:val="28"/>
        </w:rPr>
        <w:t>C</w:t>
      </w:r>
      <w:r w:rsidRPr="00030313">
        <w:rPr>
          <w:rFonts w:ascii="Times New Roman" w:hAnsi="Times New Roman"/>
          <w:bCs/>
          <w:iCs/>
          <w:spacing w:val="5"/>
          <w:sz w:val="28"/>
        </w:rPr>
        <w:t>ualquier</w:t>
      </w:r>
      <w:r w:rsidRPr="00030313">
        <w:rPr>
          <w:rFonts w:ascii="Times New Roman" w:hAnsi="Times New Roman"/>
          <w:bCs/>
          <w:iCs/>
          <w:spacing w:val="5"/>
          <w:sz w:val="28"/>
        </w:rPr>
        <w:t xml:space="preserve"> </w:t>
      </w:r>
      <w:r w:rsidRPr="00030313">
        <w:rPr>
          <w:rFonts w:ascii="Times New Roman" w:hAnsi="Times New Roman"/>
          <w:bCs/>
          <w:iCs/>
          <w:spacing w:val="5"/>
          <w:sz w:val="28"/>
        </w:rPr>
        <w:t xml:space="preserve">trato discriminatorio </w:t>
      </w:r>
      <w:r w:rsidRPr="00030313">
        <w:rPr>
          <w:rFonts w:ascii="Times New Roman" w:hAnsi="Times New Roman"/>
          <w:bCs/>
          <w:iCs/>
          <w:spacing w:val="5"/>
          <w:sz w:val="28"/>
        </w:rPr>
        <w:t>bas</w:t>
      </w:r>
      <w:r w:rsidRPr="00030313">
        <w:rPr>
          <w:rFonts w:ascii="Times New Roman" w:hAnsi="Times New Roman"/>
          <w:bCs/>
          <w:iCs/>
          <w:spacing w:val="5"/>
          <w:sz w:val="28"/>
        </w:rPr>
        <w:t>ado</w:t>
      </w:r>
      <w:r w:rsidRPr="00030313">
        <w:rPr>
          <w:rFonts w:ascii="Times New Roman" w:hAnsi="Times New Roman"/>
          <w:bCs/>
          <w:iCs/>
          <w:spacing w:val="5"/>
          <w:sz w:val="28"/>
        </w:rPr>
        <w:t xml:space="preserve"> en la identidad de género o la orientación sexual, </w:t>
      </w:r>
      <w:r w:rsidRPr="00030313">
        <w:rPr>
          <w:rFonts w:ascii="Times New Roman" w:hAnsi="Times New Roman"/>
          <w:bCs/>
          <w:iCs/>
          <w:spacing w:val="5"/>
          <w:sz w:val="28"/>
        </w:rPr>
        <w:t xml:space="preserve">se entenderá como un criterio sospechoso </w:t>
      </w:r>
      <w:r w:rsidRPr="00030313">
        <w:rPr>
          <w:rFonts w:ascii="Times New Roman" w:hAnsi="Times New Roman"/>
          <w:bCs/>
          <w:iCs/>
          <w:spacing w:val="5"/>
          <w:sz w:val="28"/>
        </w:rPr>
        <w:t xml:space="preserve">de discriminación. </w:t>
      </w:r>
    </w:p>
    <w:p w:rsidR="00527A2F" w:rsidRPr="00030313" w:rsidRDefault="00030313" w:rsidP="00C61937">
      <w:pPr>
        <w:jc w:val="both"/>
        <w:rPr>
          <w:rFonts w:ascii="Times New Roman" w:hAnsi="Times New Roman"/>
          <w:b/>
          <w:iCs/>
          <w:spacing w:val="5"/>
          <w:sz w:val="28"/>
        </w:rPr>
      </w:pPr>
    </w:p>
    <w:p w:rsidR="00B40FD7" w:rsidRPr="00030313" w:rsidRDefault="00030313" w:rsidP="00C61937">
      <w:pPr>
        <w:numPr>
          <w:ilvl w:val="0"/>
          <w:numId w:val="6"/>
        </w:numPr>
        <w:ind w:left="0" w:firstLine="0"/>
        <w:jc w:val="both"/>
        <w:rPr>
          <w:rFonts w:ascii="Times New Roman" w:hAnsi="Times New Roman"/>
          <w:b/>
          <w:iCs/>
          <w:spacing w:val="5"/>
          <w:sz w:val="28"/>
        </w:rPr>
      </w:pPr>
      <w:r w:rsidRPr="00030313">
        <w:rPr>
          <w:rFonts w:ascii="Times New Roman" w:hAnsi="Times New Roman"/>
          <w:bCs/>
          <w:iCs/>
          <w:spacing w:val="5"/>
          <w:sz w:val="28"/>
        </w:rPr>
        <w:t xml:space="preserve">En hilo con lo </w:t>
      </w:r>
      <w:r w:rsidRPr="00030313">
        <w:rPr>
          <w:rFonts w:ascii="Times New Roman" w:hAnsi="Times New Roman"/>
          <w:bCs/>
          <w:iCs/>
          <w:spacing w:val="5"/>
          <w:sz w:val="28"/>
        </w:rPr>
        <w:t>anterior</w:t>
      </w:r>
      <w:r w:rsidRPr="00030313">
        <w:rPr>
          <w:rFonts w:ascii="Times New Roman" w:hAnsi="Times New Roman"/>
          <w:bCs/>
          <w:iCs/>
          <w:spacing w:val="5"/>
          <w:sz w:val="28"/>
        </w:rPr>
        <w:t>, la Sentencia SU-440 de 2021</w:t>
      </w:r>
      <w:r w:rsidRPr="00030313">
        <w:rPr>
          <w:rFonts w:ascii="Times New Roman" w:hAnsi="Times New Roman"/>
          <w:bCs/>
          <w:iCs/>
          <w:spacing w:val="5"/>
          <w:sz w:val="28"/>
        </w:rPr>
        <w:t xml:space="preserve"> también</w:t>
      </w:r>
      <w:r w:rsidRPr="00030313">
        <w:rPr>
          <w:rFonts w:ascii="Times New Roman" w:hAnsi="Times New Roman"/>
          <w:bCs/>
          <w:iCs/>
          <w:spacing w:val="5"/>
          <w:sz w:val="28"/>
        </w:rPr>
        <w:t xml:space="preserve"> destacó que </w:t>
      </w:r>
      <w:r w:rsidRPr="00030313">
        <w:rPr>
          <w:rFonts w:ascii="Times New Roman" w:hAnsi="Times New Roman"/>
          <w:bCs/>
          <w:iCs/>
          <w:spacing w:val="5"/>
          <w:sz w:val="28"/>
        </w:rPr>
        <w:t>las personas trans tienen derecho al reconocimiento jurídico de su identidad de género.</w:t>
      </w:r>
      <w:r w:rsidRPr="00030313">
        <w:rPr>
          <w:rFonts w:ascii="Times New Roman" w:hAnsi="Times New Roman"/>
          <w:bCs/>
          <w:iCs/>
          <w:spacing w:val="5"/>
          <w:sz w:val="28"/>
        </w:rPr>
        <w:t xml:space="preserve"> Conforme lo desarrollado por la Sala Plena, </w:t>
      </w:r>
      <w:r w:rsidRPr="00030313">
        <w:rPr>
          <w:rFonts w:ascii="Times New Roman" w:hAnsi="Times New Roman"/>
          <w:bCs/>
          <w:iCs/>
          <w:spacing w:val="5"/>
          <w:sz w:val="28"/>
        </w:rPr>
        <w:t xml:space="preserve">el reconocimiento jurídico como faceta del derecho a la identidad de género </w:t>
      </w:r>
      <w:r w:rsidRPr="00030313">
        <w:rPr>
          <w:rFonts w:ascii="Times New Roman" w:hAnsi="Times New Roman"/>
          <w:bCs/>
          <w:iCs/>
          <w:spacing w:val="5"/>
          <w:sz w:val="28"/>
        </w:rPr>
        <w:t>se concreta en la obligación del Estado de</w:t>
      </w:r>
      <w:r w:rsidRPr="00030313">
        <w:rPr>
          <w:rFonts w:ascii="Times New Roman" w:hAnsi="Times New Roman"/>
          <w:bCs/>
          <w:iCs/>
          <w:spacing w:val="5"/>
          <w:sz w:val="28"/>
        </w:rPr>
        <w:t>:</w:t>
      </w:r>
    </w:p>
    <w:p w:rsidR="00B40FD7" w:rsidRPr="00030313" w:rsidRDefault="00030313" w:rsidP="00C61937">
      <w:pPr>
        <w:pStyle w:val="Prrafodelista"/>
        <w:rPr>
          <w:rFonts w:ascii="Times New Roman" w:hAnsi="Times New Roman"/>
          <w:bCs/>
          <w:iCs/>
          <w:spacing w:val="5"/>
          <w:sz w:val="28"/>
        </w:rPr>
      </w:pPr>
    </w:p>
    <w:p w:rsidR="00527A2F" w:rsidRPr="00030313" w:rsidRDefault="00030313" w:rsidP="00C61937">
      <w:pPr>
        <w:ind w:left="284" w:right="334"/>
        <w:jc w:val="both"/>
        <w:rPr>
          <w:rFonts w:ascii="Times New Roman" w:hAnsi="Times New Roman"/>
          <w:b/>
          <w:iCs/>
          <w:spacing w:val="5"/>
          <w:sz w:val="28"/>
        </w:rPr>
      </w:pPr>
      <w:r w:rsidRPr="00030313">
        <w:rPr>
          <w:rFonts w:ascii="Times New Roman" w:hAnsi="Times New Roman"/>
          <w:bCs/>
          <w:i/>
          <w:spacing w:val="5"/>
          <w:sz w:val="28"/>
        </w:rPr>
        <w:t>[C]</w:t>
      </w:r>
      <w:r w:rsidRPr="00030313">
        <w:rPr>
          <w:rFonts w:ascii="Times New Roman" w:hAnsi="Times New Roman"/>
          <w:bCs/>
          <w:i/>
          <w:spacing w:val="5"/>
          <w:sz w:val="28"/>
        </w:rPr>
        <w:t>ontar con procedimientos expeditos que les permitan modificar o corregir su nombre y el marcador de género o ‘sexo’ en los documento</w:t>
      </w:r>
      <w:r w:rsidRPr="00030313">
        <w:rPr>
          <w:rFonts w:ascii="Times New Roman" w:hAnsi="Times New Roman"/>
          <w:bCs/>
          <w:i/>
          <w:spacing w:val="5"/>
          <w:sz w:val="28"/>
        </w:rPr>
        <w:t xml:space="preserve">s de identificación y registros públicos de manera accesible, expedita, autónoma y transparente. La modificación </w:t>
      </w:r>
      <w:r w:rsidRPr="00030313">
        <w:rPr>
          <w:rFonts w:ascii="Times New Roman" w:hAnsi="Times New Roman"/>
          <w:bCs/>
          <w:i/>
          <w:spacing w:val="5"/>
          <w:sz w:val="28"/>
        </w:rPr>
        <w:t>de los datos del registro civil y la cédula de ciudadanía -nombre y componente ‘sexo’- de las personas transgénero no responde a un cambio resp</w:t>
      </w:r>
      <w:r w:rsidRPr="00030313">
        <w:rPr>
          <w:rFonts w:ascii="Times New Roman" w:hAnsi="Times New Roman"/>
          <w:bCs/>
          <w:i/>
          <w:spacing w:val="5"/>
          <w:sz w:val="28"/>
        </w:rPr>
        <w:t>ecto de la línea precedente</w:t>
      </w:r>
      <w:r w:rsidRPr="00030313">
        <w:rPr>
          <w:rFonts w:ascii="Times New Roman" w:hAnsi="Times New Roman"/>
          <w:bCs/>
          <w:i/>
          <w:spacing w:val="5"/>
          <w:sz w:val="28"/>
        </w:rPr>
        <w:t xml:space="preserve">, ‘sino a la corrección de un error derivado de la falta de correspondencia entre el sexo asignado por terceros al momento de nacer y la adscripción identitaria que lleva a cabo el propio individuo’. El </w:t>
      </w:r>
      <w:r w:rsidRPr="00030313">
        <w:rPr>
          <w:rFonts w:ascii="Times New Roman" w:hAnsi="Times New Roman"/>
          <w:bCs/>
          <w:i/>
          <w:spacing w:val="5"/>
          <w:sz w:val="28"/>
        </w:rPr>
        <w:t>reconocimiento legal de la</w:t>
      </w:r>
      <w:r w:rsidRPr="00030313">
        <w:rPr>
          <w:rFonts w:ascii="Times New Roman" w:hAnsi="Times New Roman"/>
          <w:bCs/>
          <w:i/>
          <w:spacing w:val="5"/>
          <w:sz w:val="28"/>
        </w:rPr>
        <w:t xml:space="preserve"> identidad de género es una herramienta esencial que tiene el potencial de reducir sensiblemente la exclusión social y la falta de oportunidades de esta población. Los procedimientos administrativos que permiten la corrección del género deben estar basados</w:t>
      </w:r>
      <w:r w:rsidRPr="00030313">
        <w:rPr>
          <w:rFonts w:ascii="Times New Roman" w:hAnsi="Times New Roman"/>
          <w:bCs/>
          <w:i/>
          <w:spacing w:val="5"/>
          <w:sz w:val="28"/>
        </w:rPr>
        <w:t xml:space="preserve"> en la libre determinación de las personas y respetar su ‘autonomía corporal’. Por esta razón, deben tener una naturaleza ‘meramente declarativa’</w:t>
      </w:r>
      <w:r w:rsidRPr="00030313">
        <w:rPr>
          <w:rFonts w:ascii="Times New Roman" w:hAnsi="Times New Roman"/>
          <w:bCs/>
          <w:i/>
          <w:spacing w:val="5"/>
          <w:sz w:val="28"/>
        </w:rPr>
        <w:t>, lo que implica que el único requisito sustantivo exigible para la adecuación registral debe ser el ‘consentim</w:t>
      </w:r>
      <w:r w:rsidRPr="00030313">
        <w:rPr>
          <w:rFonts w:ascii="Times New Roman" w:hAnsi="Times New Roman"/>
          <w:bCs/>
          <w:i/>
          <w:spacing w:val="5"/>
          <w:sz w:val="28"/>
        </w:rPr>
        <w:t>iento libre e informado de la persona solicitante’. El reconocimiento de la identidad de género no puede estar condicionado al cumplimiento de requisitos abusivos, como una certificación médica, la cirugía, los tratamientos la esterilización, etc.</w:t>
      </w:r>
    </w:p>
    <w:p w:rsidR="0081650D" w:rsidRPr="00030313" w:rsidRDefault="00030313" w:rsidP="00C61937">
      <w:pPr>
        <w:jc w:val="both"/>
        <w:rPr>
          <w:rFonts w:ascii="Times New Roman" w:hAnsi="Times New Roman"/>
          <w:b/>
          <w:iCs/>
          <w:spacing w:val="5"/>
          <w:sz w:val="28"/>
        </w:rPr>
      </w:pPr>
    </w:p>
    <w:p w:rsidR="00F519B8" w:rsidRPr="00030313" w:rsidRDefault="00030313" w:rsidP="00C61937">
      <w:pPr>
        <w:numPr>
          <w:ilvl w:val="0"/>
          <w:numId w:val="6"/>
        </w:numPr>
        <w:ind w:left="0" w:firstLine="0"/>
        <w:jc w:val="both"/>
        <w:rPr>
          <w:rFonts w:ascii="Times New Roman" w:hAnsi="Times New Roman"/>
          <w:b/>
          <w:iCs/>
          <w:spacing w:val="5"/>
          <w:sz w:val="28"/>
        </w:rPr>
      </w:pPr>
      <w:r w:rsidRPr="00030313">
        <w:rPr>
          <w:rFonts w:ascii="Times New Roman" w:hAnsi="Times New Roman"/>
          <w:bCs/>
          <w:iCs/>
          <w:spacing w:val="5"/>
          <w:sz w:val="28"/>
        </w:rPr>
        <w:t xml:space="preserve">En este punto, la Sala Plena </w:t>
      </w:r>
      <w:r w:rsidRPr="00030313">
        <w:rPr>
          <w:rFonts w:ascii="Times New Roman" w:hAnsi="Times New Roman"/>
          <w:bCs/>
          <w:iCs/>
          <w:spacing w:val="5"/>
          <w:sz w:val="28"/>
        </w:rPr>
        <w:t>determinó</w:t>
      </w:r>
      <w:r w:rsidRPr="00030313">
        <w:rPr>
          <w:rFonts w:ascii="Times New Roman" w:hAnsi="Times New Roman"/>
          <w:bCs/>
          <w:iCs/>
          <w:spacing w:val="5"/>
          <w:sz w:val="28"/>
        </w:rPr>
        <w:t xml:space="preserve"> que el reconocimiento jurídico a la identidad de género diversa </w:t>
      </w:r>
      <w:r w:rsidRPr="00030313">
        <w:rPr>
          <w:rFonts w:ascii="Times New Roman" w:hAnsi="Times New Roman"/>
          <w:bCs/>
          <w:iCs/>
          <w:spacing w:val="5"/>
          <w:sz w:val="28"/>
        </w:rPr>
        <w:t xml:space="preserve">contemplaba tres elementos, a saber: </w:t>
      </w:r>
      <w:r w:rsidRPr="00030313">
        <w:rPr>
          <w:rFonts w:ascii="Times New Roman" w:hAnsi="Times New Roman"/>
          <w:bCs/>
          <w:i/>
          <w:spacing w:val="5"/>
          <w:sz w:val="28"/>
        </w:rPr>
        <w:t xml:space="preserve">(i) </w:t>
      </w:r>
      <w:r w:rsidRPr="00030313">
        <w:rPr>
          <w:rFonts w:ascii="Times New Roman" w:hAnsi="Times New Roman"/>
          <w:bCs/>
          <w:iCs/>
          <w:spacing w:val="5"/>
          <w:sz w:val="28"/>
        </w:rPr>
        <w:t>la obligación del Estado de contar con procedimientos idóneos que permitan a las personas trans modificar su nom</w:t>
      </w:r>
      <w:r w:rsidRPr="00030313">
        <w:rPr>
          <w:rFonts w:ascii="Times New Roman" w:hAnsi="Times New Roman"/>
          <w:bCs/>
          <w:iCs/>
          <w:spacing w:val="5"/>
          <w:sz w:val="28"/>
        </w:rPr>
        <w:t>bre y el marcador de género o ‘sex</w:t>
      </w:r>
      <w:r w:rsidRPr="00030313">
        <w:rPr>
          <w:rFonts w:ascii="Times New Roman" w:hAnsi="Times New Roman"/>
          <w:bCs/>
          <w:iCs/>
          <w:spacing w:val="5"/>
          <w:sz w:val="28"/>
        </w:rPr>
        <w:t xml:space="preserve">o’ en los documentos de identificación y registros públicos; </w:t>
      </w:r>
      <w:r w:rsidRPr="00030313">
        <w:rPr>
          <w:rFonts w:ascii="Times New Roman" w:hAnsi="Times New Roman"/>
          <w:bCs/>
          <w:i/>
          <w:spacing w:val="5"/>
          <w:sz w:val="28"/>
        </w:rPr>
        <w:t xml:space="preserve">(ii) </w:t>
      </w:r>
      <w:r w:rsidRPr="00030313">
        <w:rPr>
          <w:rFonts w:ascii="Times New Roman" w:hAnsi="Times New Roman"/>
          <w:bCs/>
          <w:iCs/>
          <w:spacing w:val="5"/>
          <w:sz w:val="28"/>
        </w:rPr>
        <w:t xml:space="preserve">el cambio del género debe estar fundado en la libre determinación de las personas, no puede estar condicionado a requisitos abusivos; y </w:t>
      </w:r>
      <w:r w:rsidRPr="00030313">
        <w:rPr>
          <w:rFonts w:ascii="Times New Roman" w:hAnsi="Times New Roman"/>
          <w:bCs/>
          <w:i/>
          <w:spacing w:val="5"/>
          <w:sz w:val="28"/>
        </w:rPr>
        <w:t xml:space="preserve">(iii) </w:t>
      </w:r>
      <w:r w:rsidRPr="00030313">
        <w:rPr>
          <w:rFonts w:ascii="Times New Roman" w:hAnsi="Times New Roman"/>
          <w:bCs/>
          <w:iCs/>
          <w:spacing w:val="5"/>
          <w:sz w:val="28"/>
        </w:rPr>
        <w:t>las personas t</w:t>
      </w:r>
      <w:r w:rsidRPr="00030313">
        <w:rPr>
          <w:rFonts w:ascii="Times New Roman" w:hAnsi="Times New Roman"/>
          <w:bCs/>
          <w:iCs/>
          <w:spacing w:val="5"/>
          <w:sz w:val="28"/>
        </w:rPr>
        <w:t>rans deben recibir un tratamiento constitucional y legal acorde con su de identidad de género auto-percibida</w:t>
      </w:r>
      <w:r w:rsidRPr="00030313">
        <w:rPr>
          <w:rStyle w:val="Refdenotaalpie"/>
          <w:rFonts w:ascii="Times New Roman" w:hAnsi="Times New Roman"/>
          <w:bCs/>
          <w:iCs/>
          <w:spacing w:val="5"/>
          <w:sz w:val="28"/>
        </w:rPr>
        <w:footnoteReference w:id="63"/>
      </w:r>
      <w:r w:rsidRPr="00030313">
        <w:rPr>
          <w:rFonts w:ascii="Times New Roman" w:hAnsi="Times New Roman"/>
          <w:bCs/>
          <w:iCs/>
          <w:spacing w:val="5"/>
          <w:sz w:val="28"/>
        </w:rPr>
        <w:t>.</w:t>
      </w:r>
    </w:p>
    <w:p w:rsidR="00F519B8" w:rsidRPr="00030313" w:rsidRDefault="00030313" w:rsidP="00C61937">
      <w:pPr>
        <w:jc w:val="both"/>
        <w:rPr>
          <w:rFonts w:ascii="Times New Roman" w:hAnsi="Times New Roman"/>
          <w:b/>
          <w:iCs/>
          <w:spacing w:val="5"/>
          <w:sz w:val="28"/>
        </w:rPr>
      </w:pPr>
    </w:p>
    <w:p w:rsidR="00044502" w:rsidRPr="00030313" w:rsidRDefault="00030313" w:rsidP="00C61937">
      <w:pPr>
        <w:numPr>
          <w:ilvl w:val="0"/>
          <w:numId w:val="6"/>
        </w:numPr>
        <w:ind w:left="0" w:firstLine="0"/>
        <w:jc w:val="both"/>
        <w:rPr>
          <w:rFonts w:ascii="Times New Roman" w:hAnsi="Times New Roman"/>
          <w:b/>
          <w:iCs/>
          <w:spacing w:val="5"/>
          <w:sz w:val="28"/>
        </w:rPr>
      </w:pPr>
      <w:r w:rsidRPr="00030313">
        <w:rPr>
          <w:rFonts w:ascii="Times New Roman" w:hAnsi="Times New Roman"/>
          <w:bCs/>
          <w:iCs/>
          <w:spacing w:val="5"/>
          <w:sz w:val="28"/>
        </w:rPr>
        <w:t xml:space="preserve">En materia internacional, </w:t>
      </w:r>
      <w:r w:rsidRPr="00030313">
        <w:rPr>
          <w:rFonts w:ascii="Times New Roman" w:hAnsi="Times New Roman"/>
          <w:bCs/>
          <w:iCs/>
          <w:spacing w:val="5"/>
          <w:sz w:val="28"/>
        </w:rPr>
        <w:t xml:space="preserve">la Corte Interamericana de Derechos Humanos </w:t>
      </w:r>
      <w:r w:rsidRPr="00030313">
        <w:rPr>
          <w:rFonts w:ascii="Times New Roman" w:hAnsi="Times New Roman"/>
          <w:bCs/>
          <w:iCs/>
          <w:spacing w:val="5"/>
          <w:sz w:val="28"/>
        </w:rPr>
        <w:t xml:space="preserve">se refirió a la identidad de género </w:t>
      </w:r>
      <w:r w:rsidRPr="00030313">
        <w:rPr>
          <w:rFonts w:ascii="Times New Roman" w:hAnsi="Times New Roman"/>
          <w:bCs/>
          <w:iCs/>
          <w:spacing w:val="5"/>
          <w:sz w:val="28"/>
        </w:rPr>
        <w:t xml:space="preserve">a partir de una solicitud presentada por </w:t>
      </w:r>
      <w:r w:rsidRPr="00030313">
        <w:rPr>
          <w:rFonts w:ascii="Times New Roman" w:hAnsi="Times New Roman"/>
          <w:bCs/>
          <w:iCs/>
          <w:spacing w:val="5"/>
          <w:sz w:val="28"/>
        </w:rPr>
        <w:t>el Estado de Costa Rica respecto de los derechos de la comunidad LGBTIQ+</w:t>
      </w:r>
      <w:r w:rsidRPr="00030313">
        <w:rPr>
          <w:rFonts w:ascii="Times New Roman" w:hAnsi="Times New Roman"/>
          <w:bCs/>
          <w:iCs/>
          <w:spacing w:val="5"/>
          <w:sz w:val="28"/>
        </w:rPr>
        <w:t xml:space="preserve"> </w:t>
      </w:r>
      <w:r w:rsidRPr="00030313">
        <w:rPr>
          <w:rFonts w:ascii="Times New Roman" w:hAnsi="Times New Roman"/>
          <w:bCs/>
          <w:iCs/>
          <w:spacing w:val="5"/>
          <w:sz w:val="28"/>
        </w:rPr>
        <w:t xml:space="preserve">en una opinión consultiva </w:t>
      </w:r>
      <w:r w:rsidRPr="00030313">
        <w:rPr>
          <w:rFonts w:ascii="Times New Roman" w:hAnsi="Times New Roman"/>
          <w:bCs/>
          <w:iCs/>
          <w:spacing w:val="5"/>
          <w:sz w:val="28"/>
        </w:rPr>
        <w:t>e</w:t>
      </w:r>
      <w:r w:rsidRPr="00030313">
        <w:rPr>
          <w:rFonts w:ascii="Times New Roman" w:hAnsi="Times New Roman"/>
          <w:bCs/>
          <w:iCs/>
          <w:spacing w:val="5"/>
          <w:sz w:val="28"/>
        </w:rPr>
        <w:t>l 24 de noviembre</w:t>
      </w:r>
      <w:r w:rsidRPr="00030313">
        <w:rPr>
          <w:rFonts w:ascii="Times New Roman" w:hAnsi="Times New Roman"/>
          <w:bCs/>
          <w:iCs/>
          <w:spacing w:val="5"/>
          <w:sz w:val="28"/>
        </w:rPr>
        <w:t xml:space="preserve"> 2017, con el fin de expresar que</w:t>
      </w:r>
      <w:r w:rsidRPr="00030313">
        <w:rPr>
          <w:rFonts w:ascii="Times New Roman" w:hAnsi="Times New Roman"/>
          <w:bCs/>
          <w:iCs/>
          <w:spacing w:val="5"/>
          <w:sz w:val="28"/>
        </w:rPr>
        <w:t>, con base en el artículo 1.1 de la Convención Americana</w:t>
      </w:r>
      <w:r w:rsidRPr="00030313">
        <w:rPr>
          <w:rFonts w:ascii="Times New Roman" w:hAnsi="Times New Roman"/>
          <w:bCs/>
          <w:iCs/>
          <w:spacing w:val="5"/>
          <w:sz w:val="28"/>
        </w:rPr>
        <w:t xml:space="preserve">, los criterios de interpretación fijados en el artículo 29 de la Convención, lo establecido en la Convención de Viena sobre Derecho de los Tratados, las Resoluciones de la Asamblea General de la OEA y </w:t>
      </w:r>
      <w:r w:rsidRPr="00030313">
        <w:rPr>
          <w:rFonts w:ascii="Times New Roman" w:hAnsi="Times New Roman"/>
          <w:bCs/>
          <w:iCs/>
          <w:spacing w:val="5"/>
          <w:sz w:val="28"/>
        </w:rPr>
        <w:t>los organismos de las Naciones Unidas, “</w:t>
      </w:r>
      <w:r w:rsidRPr="00030313">
        <w:rPr>
          <w:rFonts w:ascii="Times New Roman" w:hAnsi="Times New Roman"/>
          <w:bCs/>
          <w:i/>
          <w:spacing w:val="5"/>
          <w:sz w:val="28"/>
        </w:rPr>
        <w:t>la orientación</w:t>
      </w:r>
      <w:r w:rsidRPr="00030313">
        <w:rPr>
          <w:rFonts w:ascii="Times New Roman" w:hAnsi="Times New Roman"/>
          <w:bCs/>
          <w:i/>
          <w:spacing w:val="5"/>
          <w:sz w:val="28"/>
        </w:rPr>
        <w:t xml:space="preserve"> sexual y la identidad de género, así como la expresión de género son categorías protegidas por la Convención</w:t>
      </w:r>
      <w:r w:rsidRPr="00030313">
        <w:rPr>
          <w:rFonts w:ascii="Times New Roman" w:hAnsi="Times New Roman"/>
          <w:bCs/>
          <w:iCs/>
          <w:spacing w:val="5"/>
          <w:sz w:val="28"/>
        </w:rPr>
        <w:t>”</w:t>
      </w:r>
      <w:r w:rsidRPr="00030313">
        <w:rPr>
          <w:rStyle w:val="Refdenotaalpie"/>
          <w:rFonts w:ascii="Times New Roman" w:hAnsi="Times New Roman"/>
          <w:bCs/>
          <w:iCs/>
          <w:spacing w:val="5"/>
          <w:sz w:val="28"/>
        </w:rPr>
        <w:footnoteReference w:id="64"/>
      </w:r>
      <w:r w:rsidRPr="00030313">
        <w:rPr>
          <w:rFonts w:ascii="Times New Roman" w:hAnsi="Times New Roman"/>
          <w:bCs/>
          <w:iCs/>
          <w:spacing w:val="5"/>
          <w:sz w:val="28"/>
        </w:rPr>
        <w:t>.</w:t>
      </w:r>
      <w:r w:rsidRPr="00030313">
        <w:rPr>
          <w:rFonts w:ascii="Times New Roman" w:hAnsi="Times New Roman"/>
          <w:bCs/>
          <w:iCs/>
          <w:spacing w:val="5"/>
          <w:sz w:val="28"/>
        </w:rPr>
        <w:t xml:space="preserve"> En consecuencia, determinó que </w:t>
      </w:r>
      <w:r w:rsidRPr="00030313">
        <w:rPr>
          <w:rFonts w:ascii="Times New Roman" w:hAnsi="Times New Roman"/>
          <w:bCs/>
          <w:iCs/>
          <w:spacing w:val="5"/>
          <w:sz w:val="28"/>
        </w:rPr>
        <w:t>“</w:t>
      </w:r>
      <w:r w:rsidRPr="00030313">
        <w:rPr>
          <w:rFonts w:ascii="Times New Roman" w:hAnsi="Times New Roman"/>
          <w:bCs/>
          <w:i/>
          <w:spacing w:val="5"/>
          <w:sz w:val="28"/>
        </w:rPr>
        <w:t xml:space="preserve">está proscrita por la Convención cualquier norma, acto o práctica discriminatoria basada en la orientación </w:t>
      </w:r>
      <w:r w:rsidRPr="00030313">
        <w:rPr>
          <w:rFonts w:ascii="Times New Roman" w:hAnsi="Times New Roman"/>
          <w:bCs/>
          <w:i/>
          <w:spacing w:val="5"/>
          <w:sz w:val="28"/>
        </w:rPr>
        <w:t xml:space="preserve">sexual, identidad de género o expresión de género de la persona. En consecuencia, ninguna norma, decisión o práctica de derecho interno, sea por parte de autoridades estatales o por particulares, pueden disminuir o restringir, de modo alguno, los derechos </w:t>
      </w:r>
      <w:r w:rsidRPr="00030313">
        <w:rPr>
          <w:rFonts w:ascii="Times New Roman" w:hAnsi="Times New Roman"/>
          <w:bCs/>
          <w:i/>
          <w:spacing w:val="5"/>
          <w:sz w:val="28"/>
        </w:rPr>
        <w:t>de una persona a partir de su orientación sexual, su identidad de género y/o su expresión de género</w:t>
      </w:r>
      <w:r w:rsidRPr="00030313">
        <w:rPr>
          <w:rFonts w:ascii="Times New Roman" w:hAnsi="Times New Roman"/>
          <w:bCs/>
          <w:iCs/>
          <w:spacing w:val="5"/>
          <w:sz w:val="28"/>
        </w:rPr>
        <w:t>.”</w:t>
      </w:r>
      <w:r w:rsidRPr="00030313">
        <w:rPr>
          <w:rFonts w:ascii="Times New Roman" w:hAnsi="Times New Roman"/>
          <w:bCs/>
          <w:iCs/>
          <w:spacing w:val="5"/>
          <w:sz w:val="28"/>
        </w:rPr>
        <w:t xml:space="preserve"> </w:t>
      </w:r>
    </w:p>
    <w:p w:rsidR="009610D2" w:rsidRPr="00030313" w:rsidRDefault="00030313" w:rsidP="00C61937">
      <w:pPr>
        <w:jc w:val="both"/>
        <w:rPr>
          <w:rFonts w:ascii="Times New Roman" w:hAnsi="Times New Roman"/>
          <w:b/>
          <w:iCs/>
          <w:spacing w:val="5"/>
          <w:sz w:val="28"/>
        </w:rPr>
      </w:pPr>
    </w:p>
    <w:p w:rsidR="009610D2" w:rsidRPr="00030313" w:rsidRDefault="00030313" w:rsidP="00C61937">
      <w:pPr>
        <w:numPr>
          <w:ilvl w:val="0"/>
          <w:numId w:val="6"/>
        </w:numPr>
        <w:ind w:left="0" w:firstLine="0"/>
        <w:jc w:val="both"/>
        <w:rPr>
          <w:rFonts w:ascii="Times New Roman" w:hAnsi="Times New Roman"/>
          <w:b/>
          <w:iCs/>
          <w:spacing w:val="5"/>
          <w:sz w:val="28"/>
        </w:rPr>
      </w:pPr>
      <w:r w:rsidRPr="00030313">
        <w:rPr>
          <w:rFonts w:ascii="Times New Roman" w:hAnsi="Times New Roman"/>
          <w:bCs/>
          <w:iCs/>
          <w:spacing w:val="5"/>
          <w:sz w:val="28"/>
        </w:rPr>
        <w:t>A</w:t>
      </w:r>
      <w:r w:rsidRPr="00030313">
        <w:rPr>
          <w:rFonts w:ascii="Times New Roman" w:hAnsi="Times New Roman"/>
          <w:bCs/>
          <w:iCs/>
          <w:spacing w:val="5"/>
          <w:sz w:val="28"/>
        </w:rPr>
        <w:t>unado a lo expuesto</w:t>
      </w:r>
      <w:r w:rsidRPr="00030313">
        <w:rPr>
          <w:rFonts w:ascii="Times New Roman" w:hAnsi="Times New Roman"/>
          <w:bCs/>
          <w:iCs/>
          <w:spacing w:val="5"/>
          <w:sz w:val="28"/>
        </w:rPr>
        <w:t xml:space="preserve">, </w:t>
      </w:r>
      <w:r w:rsidRPr="00030313">
        <w:rPr>
          <w:rFonts w:ascii="Times New Roman" w:hAnsi="Times New Roman"/>
          <w:bCs/>
          <w:iCs/>
          <w:spacing w:val="5"/>
          <w:sz w:val="28"/>
        </w:rPr>
        <w:t xml:space="preserve">a través de la Resolución </w:t>
      </w:r>
      <w:r w:rsidRPr="00030313">
        <w:rPr>
          <w:rFonts w:ascii="Times New Roman" w:hAnsi="Times New Roman"/>
          <w:bCs/>
          <w:iCs/>
          <w:spacing w:val="5"/>
          <w:sz w:val="28"/>
        </w:rPr>
        <w:t xml:space="preserve">17/19 del 14 de julio de 2011, la Asamblea General de Naciones Unidas destacó su preocupación por </w:t>
      </w:r>
      <w:r w:rsidRPr="00030313">
        <w:rPr>
          <w:rFonts w:ascii="Times New Roman" w:hAnsi="Times New Roman"/>
          <w:bCs/>
          <w:iCs/>
          <w:spacing w:val="5"/>
          <w:sz w:val="28"/>
        </w:rPr>
        <w:t>los ac</w:t>
      </w:r>
      <w:r w:rsidRPr="00030313">
        <w:rPr>
          <w:rFonts w:ascii="Times New Roman" w:hAnsi="Times New Roman"/>
          <w:bCs/>
          <w:iCs/>
          <w:spacing w:val="5"/>
          <w:sz w:val="28"/>
        </w:rPr>
        <w:t xml:space="preserve">tos de violencia y discriminación </w:t>
      </w:r>
      <w:r w:rsidRPr="00030313">
        <w:rPr>
          <w:rFonts w:ascii="Times New Roman" w:hAnsi="Times New Roman"/>
          <w:bCs/>
          <w:iCs/>
          <w:spacing w:val="5"/>
          <w:sz w:val="28"/>
        </w:rPr>
        <w:t>en comento</w:t>
      </w:r>
      <w:r w:rsidRPr="00030313">
        <w:rPr>
          <w:rFonts w:ascii="Times New Roman" w:hAnsi="Times New Roman"/>
          <w:bCs/>
          <w:iCs/>
          <w:spacing w:val="5"/>
          <w:sz w:val="28"/>
        </w:rPr>
        <w:t>, a nivel mundial, contra las personas con orientación sexual diversa.</w:t>
      </w:r>
      <w:r w:rsidRPr="00030313">
        <w:rPr>
          <w:rFonts w:ascii="Times New Roman" w:hAnsi="Times New Roman"/>
          <w:bCs/>
          <w:iCs/>
          <w:spacing w:val="5"/>
          <w:sz w:val="28"/>
        </w:rPr>
        <w:t xml:space="preserve"> </w:t>
      </w:r>
      <w:r w:rsidRPr="00030313">
        <w:rPr>
          <w:rFonts w:ascii="Times New Roman" w:hAnsi="Times New Roman"/>
          <w:bCs/>
          <w:iCs/>
          <w:spacing w:val="5"/>
          <w:sz w:val="28"/>
        </w:rPr>
        <w:t>Como resultado de la Resolución anotada, se publicó el informe del 17 de noviembre de 2011</w:t>
      </w:r>
      <w:r w:rsidRPr="00030313">
        <w:rPr>
          <w:rFonts w:ascii="Times New Roman" w:hAnsi="Times New Roman"/>
          <w:bCs/>
          <w:iCs/>
          <w:spacing w:val="5"/>
          <w:sz w:val="28"/>
        </w:rPr>
        <w:t xml:space="preserve"> titulado “</w:t>
      </w:r>
      <w:r w:rsidRPr="00030313">
        <w:rPr>
          <w:rFonts w:ascii="Times New Roman" w:hAnsi="Times New Roman"/>
          <w:bCs/>
          <w:i/>
          <w:spacing w:val="5"/>
          <w:sz w:val="28"/>
        </w:rPr>
        <w:t xml:space="preserve">[l]eyes </w:t>
      </w:r>
      <w:r w:rsidRPr="00030313">
        <w:rPr>
          <w:rFonts w:ascii="Times New Roman" w:hAnsi="Times New Roman"/>
          <w:bCs/>
          <w:i/>
          <w:spacing w:val="5"/>
          <w:sz w:val="28"/>
        </w:rPr>
        <w:t xml:space="preserve">y prácticas discriminatorias y </w:t>
      </w:r>
      <w:r w:rsidRPr="00030313">
        <w:rPr>
          <w:rFonts w:ascii="Times New Roman" w:hAnsi="Times New Roman"/>
          <w:bCs/>
          <w:i/>
          <w:spacing w:val="5"/>
          <w:sz w:val="28"/>
        </w:rPr>
        <w:t>actos de violencia cometidos contra personas por su orientación sexual e identidad de género”</w:t>
      </w:r>
      <w:r w:rsidRPr="00030313">
        <w:rPr>
          <w:rFonts w:ascii="Times New Roman" w:hAnsi="Times New Roman"/>
          <w:bCs/>
          <w:iCs/>
          <w:spacing w:val="5"/>
          <w:sz w:val="28"/>
        </w:rPr>
        <w:t xml:space="preserve">. </w:t>
      </w:r>
      <w:r w:rsidRPr="00030313">
        <w:rPr>
          <w:rFonts w:ascii="Times New Roman" w:hAnsi="Times New Roman"/>
          <w:bCs/>
          <w:iCs/>
          <w:spacing w:val="5"/>
          <w:sz w:val="28"/>
        </w:rPr>
        <w:t xml:space="preserve">En el literal G del informe referido, </w:t>
      </w:r>
      <w:r w:rsidRPr="00030313">
        <w:rPr>
          <w:rFonts w:ascii="Times New Roman" w:hAnsi="Times New Roman"/>
          <w:bCs/>
          <w:iCs/>
          <w:spacing w:val="5"/>
          <w:sz w:val="28"/>
        </w:rPr>
        <w:t>se resalta que “</w:t>
      </w:r>
      <w:r w:rsidRPr="00030313">
        <w:rPr>
          <w:rFonts w:ascii="Times New Roman" w:hAnsi="Times New Roman"/>
          <w:bCs/>
          <w:i/>
          <w:spacing w:val="5"/>
          <w:sz w:val="28"/>
        </w:rPr>
        <w:t>[e]n muchos países, las personas trans no pueden obtener el reconocimiento legal de su género preferido, in</w:t>
      </w:r>
      <w:r w:rsidRPr="00030313">
        <w:rPr>
          <w:rFonts w:ascii="Times New Roman" w:hAnsi="Times New Roman"/>
          <w:bCs/>
          <w:i/>
          <w:spacing w:val="5"/>
          <w:sz w:val="28"/>
        </w:rPr>
        <w:t xml:space="preserve">cluida la modificación del sexo y el nombre en los </w:t>
      </w:r>
      <w:r w:rsidRPr="00030313">
        <w:rPr>
          <w:rFonts w:ascii="Times New Roman" w:hAnsi="Times New Roman"/>
          <w:bCs/>
          <w:i/>
          <w:spacing w:val="5"/>
          <w:sz w:val="28"/>
        </w:rPr>
        <w:t xml:space="preserve">documentos de identidad expedidos por el Estado. Por consiguiente, encuentran numerosas dificultades prácticas, en particular cuando solicitan empleo, vivienda, crédito </w:t>
      </w:r>
      <w:r w:rsidRPr="00030313">
        <w:rPr>
          <w:rFonts w:ascii="Times New Roman" w:hAnsi="Times New Roman"/>
          <w:bCs/>
          <w:i/>
          <w:spacing w:val="5"/>
          <w:sz w:val="28"/>
        </w:rPr>
        <w:t>o prestaciones del Estado o cuando v</w:t>
      </w:r>
      <w:r w:rsidRPr="00030313">
        <w:rPr>
          <w:rFonts w:ascii="Times New Roman" w:hAnsi="Times New Roman"/>
          <w:bCs/>
          <w:i/>
          <w:spacing w:val="5"/>
          <w:sz w:val="28"/>
        </w:rPr>
        <w:t>iajan al extranjero.”</w:t>
      </w:r>
      <w:r w:rsidRPr="00030313">
        <w:rPr>
          <w:rFonts w:ascii="Times New Roman" w:hAnsi="Times New Roman"/>
          <w:bCs/>
          <w:iCs/>
          <w:spacing w:val="5"/>
          <w:sz w:val="28"/>
        </w:rPr>
        <w:t xml:space="preserve"> </w:t>
      </w:r>
      <w:r w:rsidRPr="00030313">
        <w:rPr>
          <w:rFonts w:ascii="Times New Roman" w:hAnsi="Times New Roman"/>
          <w:bCs/>
          <w:iCs/>
          <w:spacing w:val="5"/>
          <w:sz w:val="28"/>
        </w:rPr>
        <w:t>A renglón seguido, el informe señaló que “</w:t>
      </w:r>
      <w:r w:rsidRPr="00030313">
        <w:rPr>
          <w:rFonts w:ascii="Times New Roman" w:hAnsi="Times New Roman"/>
          <w:bCs/>
          <w:i/>
          <w:spacing w:val="5"/>
          <w:sz w:val="28"/>
        </w:rPr>
        <w:t xml:space="preserve">[e]l Comité de Derechos Humanos </w:t>
      </w:r>
      <w:r w:rsidRPr="00030313">
        <w:rPr>
          <w:rFonts w:ascii="Times New Roman" w:hAnsi="Times New Roman"/>
          <w:bCs/>
          <w:i/>
          <w:spacing w:val="5"/>
          <w:sz w:val="28"/>
        </w:rPr>
        <w:t>ha expresado preocupación por la falta de disposiciones sobre el reconocimiento legal de la identidad de las personas trans. Ha instado a los Estados a que reco</w:t>
      </w:r>
      <w:r w:rsidRPr="00030313">
        <w:rPr>
          <w:rFonts w:ascii="Times New Roman" w:hAnsi="Times New Roman"/>
          <w:bCs/>
          <w:i/>
          <w:spacing w:val="5"/>
          <w:sz w:val="28"/>
        </w:rPr>
        <w:t>nozcan el derecho de las personas trans al cambio de género permitiendo la expedición de nuevas partidas de nacimiento y ha tomado nota con aprobación de la legislación por la que se facilita el reconocimiento legal del cambio de género”</w:t>
      </w:r>
      <w:r w:rsidRPr="00030313">
        <w:rPr>
          <w:rStyle w:val="Refdenotaalpie"/>
          <w:rFonts w:ascii="Times New Roman" w:hAnsi="Times New Roman"/>
          <w:bCs/>
          <w:i/>
          <w:spacing w:val="5"/>
          <w:sz w:val="28"/>
        </w:rPr>
        <w:footnoteReference w:id="65"/>
      </w:r>
      <w:r w:rsidRPr="00030313">
        <w:rPr>
          <w:rFonts w:ascii="Times New Roman" w:hAnsi="Times New Roman"/>
          <w:bCs/>
          <w:i/>
          <w:spacing w:val="5"/>
          <w:sz w:val="28"/>
        </w:rPr>
        <w:t>.</w:t>
      </w:r>
      <w:r w:rsidRPr="00030313">
        <w:rPr>
          <w:rFonts w:ascii="Times New Roman" w:hAnsi="Times New Roman"/>
          <w:bCs/>
          <w:iCs/>
          <w:spacing w:val="5"/>
          <w:sz w:val="28"/>
        </w:rPr>
        <w:t xml:space="preserve"> </w:t>
      </w:r>
    </w:p>
    <w:p w:rsidR="00D05DD0" w:rsidRPr="00030313" w:rsidRDefault="00030313" w:rsidP="00C61937">
      <w:pPr>
        <w:jc w:val="both"/>
        <w:rPr>
          <w:rFonts w:ascii="Times New Roman" w:hAnsi="Times New Roman"/>
          <w:b/>
          <w:iCs/>
          <w:spacing w:val="5"/>
          <w:sz w:val="28"/>
        </w:rPr>
      </w:pPr>
    </w:p>
    <w:p w:rsidR="00D16852" w:rsidRPr="00030313" w:rsidRDefault="00030313" w:rsidP="00C61937">
      <w:pPr>
        <w:numPr>
          <w:ilvl w:val="0"/>
          <w:numId w:val="6"/>
        </w:numPr>
        <w:ind w:left="0" w:firstLine="0"/>
        <w:jc w:val="both"/>
        <w:rPr>
          <w:rFonts w:ascii="Times New Roman" w:hAnsi="Times New Roman"/>
          <w:b/>
          <w:iCs/>
          <w:spacing w:val="5"/>
          <w:sz w:val="28"/>
        </w:rPr>
      </w:pPr>
      <w:r w:rsidRPr="00030313">
        <w:rPr>
          <w:rFonts w:ascii="Times New Roman" w:hAnsi="Times New Roman"/>
          <w:bCs/>
          <w:iCs/>
          <w:spacing w:val="5"/>
          <w:sz w:val="28"/>
        </w:rPr>
        <w:t>Adicionalmente, l</w:t>
      </w:r>
      <w:r w:rsidRPr="00030313">
        <w:rPr>
          <w:rFonts w:ascii="Times New Roman" w:hAnsi="Times New Roman"/>
          <w:bCs/>
          <w:iCs/>
          <w:spacing w:val="5"/>
          <w:sz w:val="28"/>
        </w:rPr>
        <w:t xml:space="preserve">a jurisprudencia se ha nutrido </w:t>
      </w:r>
      <w:r w:rsidRPr="00030313">
        <w:rPr>
          <w:rFonts w:ascii="Times New Roman" w:hAnsi="Times New Roman"/>
          <w:bCs/>
          <w:iCs/>
          <w:spacing w:val="5"/>
          <w:sz w:val="28"/>
        </w:rPr>
        <w:t xml:space="preserve">de forma </w:t>
      </w:r>
      <w:r w:rsidRPr="00030313">
        <w:rPr>
          <w:rFonts w:ascii="Times New Roman" w:hAnsi="Times New Roman"/>
          <w:bCs/>
          <w:iCs/>
          <w:spacing w:val="5"/>
          <w:sz w:val="28"/>
        </w:rPr>
        <w:t>vasta</w:t>
      </w:r>
      <w:r w:rsidRPr="00030313">
        <w:rPr>
          <w:rFonts w:ascii="Times New Roman" w:hAnsi="Times New Roman"/>
          <w:bCs/>
          <w:iCs/>
          <w:spacing w:val="5"/>
          <w:sz w:val="28"/>
        </w:rPr>
        <w:t xml:space="preserve"> de la literatura especializada en estudios de género</w:t>
      </w:r>
      <w:r w:rsidRPr="00030313">
        <w:rPr>
          <w:rFonts w:ascii="Times New Roman" w:hAnsi="Times New Roman"/>
          <w:bCs/>
          <w:iCs/>
          <w:spacing w:val="5"/>
          <w:sz w:val="28"/>
        </w:rPr>
        <w:t xml:space="preserve">, teoría jurídica y </w:t>
      </w:r>
      <w:r w:rsidRPr="00030313">
        <w:rPr>
          <w:rFonts w:ascii="Times New Roman" w:hAnsi="Times New Roman"/>
          <w:bCs/>
          <w:iCs/>
          <w:spacing w:val="5"/>
          <w:sz w:val="28"/>
        </w:rPr>
        <w:t>estudios culturales</w:t>
      </w:r>
      <w:r w:rsidRPr="00030313">
        <w:rPr>
          <w:rFonts w:ascii="Times New Roman" w:hAnsi="Times New Roman"/>
          <w:bCs/>
          <w:iCs/>
          <w:spacing w:val="5"/>
          <w:sz w:val="28"/>
        </w:rPr>
        <w:t xml:space="preserve"> para poder llenar de contenido este derecho fundamental </w:t>
      </w:r>
      <w:r w:rsidRPr="00030313">
        <w:rPr>
          <w:rFonts w:ascii="Times New Roman" w:hAnsi="Times New Roman"/>
          <w:bCs/>
          <w:iCs/>
          <w:spacing w:val="5"/>
          <w:sz w:val="28"/>
        </w:rPr>
        <w:t>y adaptar su desarrollo para que sea suscepti</w:t>
      </w:r>
      <w:r w:rsidRPr="00030313">
        <w:rPr>
          <w:rFonts w:ascii="Times New Roman" w:hAnsi="Times New Roman"/>
          <w:bCs/>
          <w:iCs/>
          <w:spacing w:val="5"/>
          <w:sz w:val="28"/>
        </w:rPr>
        <w:t xml:space="preserve">ble de materializarse en la sociedad contemporánea. </w:t>
      </w:r>
      <w:r w:rsidRPr="00030313">
        <w:rPr>
          <w:rFonts w:ascii="Times New Roman" w:hAnsi="Times New Roman"/>
          <w:bCs/>
          <w:iCs/>
          <w:spacing w:val="5"/>
          <w:sz w:val="28"/>
        </w:rPr>
        <w:t xml:space="preserve">Sobre la literatura académica </w:t>
      </w:r>
      <w:r w:rsidRPr="00030313">
        <w:rPr>
          <w:rFonts w:ascii="Times New Roman" w:hAnsi="Times New Roman"/>
          <w:bCs/>
          <w:iCs/>
          <w:spacing w:val="5"/>
          <w:sz w:val="28"/>
        </w:rPr>
        <w:t>especializada en género, esta ha indicado que la palabra género supone “</w:t>
      </w:r>
      <w:r w:rsidRPr="00030313">
        <w:rPr>
          <w:rFonts w:ascii="Times New Roman" w:hAnsi="Times New Roman"/>
          <w:bCs/>
          <w:i/>
          <w:spacing w:val="5"/>
          <w:sz w:val="28"/>
        </w:rPr>
        <w:t>un conjunto de creencias, expectativas, roles sociales, posiciones, tendencias, actitudes, gustos, que</w:t>
      </w:r>
      <w:r w:rsidRPr="00030313">
        <w:rPr>
          <w:rFonts w:ascii="Times New Roman" w:hAnsi="Times New Roman"/>
          <w:bCs/>
          <w:i/>
          <w:spacing w:val="5"/>
          <w:sz w:val="28"/>
        </w:rPr>
        <w:t xml:space="preserve"> están socialmente asociados con uno u otro sexo (o, mejor, con el parecer como pertenecientes a un sexo u otro)</w:t>
      </w:r>
      <w:r w:rsidRPr="00030313">
        <w:rPr>
          <w:rFonts w:ascii="Times New Roman" w:hAnsi="Times New Roman"/>
          <w:bCs/>
          <w:i/>
          <w:spacing w:val="5"/>
          <w:sz w:val="28"/>
        </w:rPr>
        <w:t>”</w:t>
      </w:r>
      <w:r w:rsidRPr="00030313">
        <w:rPr>
          <w:rStyle w:val="Refdenotaalpie"/>
          <w:rFonts w:ascii="Times New Roman" w:hAnsi="Times New Roman"/>
          <w:bCs/>
          <w:i/>
          <w:spacing w:val="5"/>
          <w:sz w:val="28"/>
        </w:rPr>
        <w:footnoteReference w:id="66"/>
      </w:r>
      <w:r w:rsidRPr="00030313">
        <w:rPr>
          <w:rFonts w:ascii="Times New Roman" w:hAnsi="Times New Roman"/>
          <w:bCs/>
          <w:i/>
          <w:spacing w:val="5"/>
          <w:sz w:val="28"/>
        </w:rPr>
        <w:t>.</w:t>
      </w:r>
      <w:r w:rsidRPr="00030313">
        <w:rPr>
          <w:rFonts w:ascii="Times New Roman" w:hAnsi="Times New Roman"/>
          <w:bCs/>
          <w:i/>
          <w:spacing w:val="5"/>
          <w:sz w:val="28"/>
        </w:rPr>
        <w:t xml:space="preserve"> </w:t>
      </w:r>
      <w:r w:rsidRPr="00030313">
        <w:rPr>
          <w:rFonts w:ascii="Times New Roman" w:hAnsi="Times New Roman"/>
          <w:bCs/>
          <w:iCs/>
          <w:spacing w:val="5"/>
          <w:sz w:val="28"/>
        </w:rPr>
        <w:t>En todo caso</w:t>
      </w:r>
      <w:r w:rsidRPr="00030313">
        <w:rPr>
          <w:rFonts w:ascii="Times New Roman" w:hAnsi="Times New Roman"/>
          <w:bCs/>
          <w:iCs/>
          <w:spacing w:val="5"/>
          <w:sz w:val="28"/>
        </w:rPr>
        <w:t xml:space="preserve">, </w:t>
      </w:r>
      <w:r w:rsidRPr="00030313">
        <w:rPr>
          <w:rFonts w:ascii="Times New Roman" w:hAnsi="Times New Roman"/>
          <w:bCs/>
          <w:iCs/>
          <w:spacing w:val="5"/>
          <w:sz w:val="28"/>
        </w:rPr>
        <w:t>los debates en torno al género han estado históricamente asociados a los movimientos feministas o, en su defecto, a la igualda</w:t>
      </w:r>
      <w:r w:rsidRPr="00030313">
        <w:rPr>
          <w:rFonts w:ascii="Times New Roman" w:hAnsi="Times New Roman"/>
          <w:bCs/>
          <w:iCs/>
          <w:spacing w:val="5"/>
          <w:sz w:val="28"/>
        </w:rPr>
        <w:t>d respecto de la</w:t>
      </w:r>
      <w:r w:rsidRPr="00030313">
        <w:rPr>
          <w:rFonts w:ascii="Times New Roman" w:hAnsi="Times New Roman"/>
          <w:bCs/>
          <w:iCs/>
          <w:spacing w:val="5"/>
          <w:sz w:val="28"/>
        </w:rPr>
        <w:t>s mujeres como categoría social</w:t>
      </w:r>
      <w:r w:rsidRPr="00030313">
        <w:rPr>
          <w:rStyle w:val="Refdenotaalpie"/>
          <w:rFonts w:ascii="Times New Roman" w:hAnsi="Times New Roman"/>
          <w:bCs/>
          <w:iCs/>
          <w:spacing w:val="5"/>
          <w:sz w:val="28"/>
        </w:rPr>
        <w:footnoteReference w:id="67"/>
      </w:r>
      <w:r w:rsidRPr="00030313">
        <w:rPr>
          <w:rFonts w:ascii="Times New Roman" w:hAnsi="Times New Roman"/>
          <w:bCs/>
          <w:iCs/>
          <w:spacing w:val="5"/>
          <w:sz w:val="28"/>
        </w:rPr>
        <w:t>.</w:t>
      </w:r>
      <w:r w:rsidRPr="00030313">
        <w:rPr>
          <w:rFonts w:ascii="Times New Roman" w:hAnsi="Times New Roman"/>
          <w:bCs/>
          <w:iCs/>
          <w:spacing w:val="5"/>
          <w:sz w:val="28"/>
        </w:rPr>
        <w:t xml:space="preserve"> Sin embargo,</w:t>
      </w:r>
      <w:r w:rsidRPr="00030313">
        <w:rPr>
          <w:rFonts w:ascii="Times New Roman" w:hAnsi="Times New Roman"/>
          <w:bCs/>
          <w:iCs/>
          <w:spacing w:val="5"/>
          <w:sz w:val="28"/>
        </w:rPr>
        <w:t xml:space="preserve"> el movimiento </w:t>
      </w:r>
      <w:r w:rsidRPr="00030313">
        <w:rPr>
          <w:rFonts w:ascii="Times New Roman" w:hAnsi="Times New Roman"/>
          <w:bCs/>
          <w:iCs/>
          <w:spacing w:val="5"/>
          <w:sz w:val="28"/>
        </w:rPr>
        <w:t xml:space="preserve">que provocó la identificación no binaria no se reduce luchas sociales asociadas al feminismo. </w:t>
      </w:r>
      <w:r w:rsidRPr="00030313">
        <w:rPr>
          <w:rFonts w:ascii="Times New Roman" w:hAnsi="Times New Roman"/>
          <w:bCs/>
          <w:iCs/>
          <w:spacing w:val="5"/>
          <w:sz w:val="28"/>
        </w:rPr>
        <w:t xml:space="preserve">Por el contrario, </w:t>
      </w:r>
      <w:r w:rsidRPr="00030313">
        <w:rPr>
          <w:rFonts w:ascii="Times New Roman" w:hAnsi="Times New Roman"/>
          <w:bCs/>
          <w:iCs/>
          <w:spacing w:val="5"/>
          <w:sz w:val="28"/>
        </w:rPr>
        <w:t xml:space="preserve">el activismo </w:t>
      </w:r>
      <w:r w:rsidRPr="00030313">
        <w:rPr>
          <w:rFonts w:ascii="Times New Roman" w:hAnsi="Times New Roman"/>
          <w:bCs/>
          <w:iCs/>
          <w:spacing w:val="5"/>
          <w:sz w:val="28"/>
        </w:rPr>
        <w:t xml:space="preserve">que interpela las concepciones tradicionales del género binario, tiene raíces en movimientos trans, </w:t>
      </w:r>
      <w:r w:rsidRPr="00030313">
        <w:rPr>
          <w:rFonts w:ascii="Times New Roman" w:hAnsi="Times New Roman"/>
          <w:bCs/>
          <w:i/>
          <w:spacing w:val="5"/>
          <w:sz w:val="28"/>
        </w:rPr>
        <w:t>queer</w:t>
      </w:r>
      <w:r w:rsidRPr="00030313">
        <w:rPr>
          <w:rFonts w:ascii="Times New Roman" w:hAnsi="Times New Roman"/>
          <w:bCs/>
          <w:iCs/>
          <w:spacing w:val="5"/>
          <w:sz w:val="28"/>
        </w:rPr>
        <w:t xml:space="preserve"> y algunas bases feministas</w:t>
      </w:r>
      <w:r w:rsidRPr="00030313">
        <w:rPr>
          <w:rStyle w:val="Refdenotaalpie"/>
          <w:rFonts w:ascii="Times New Roman" w:hAnsi="Times New Roman"/>
          <w:bCs/>
          <w:iCs/>
          <w:spacing w:val="5"/>
          <w:sz w:val="28"/>
        </w:rPr>
        <w:footnoteReference w:id="68"/>
      </w:r>
      <w:r w:rsidRPr="00030313">
        <w:rPr>
          <w:rFonts w:ascii="Times New Roman" w:hAnsi="Times New Roman"/>
          <w:bCs/>
          <w:iCs/>
          <w:spacing w:val="5"/>
          <w:sz w:val="28"/>
        </w:rPr>
        <w:t>.</w:t>
      </w:r>
      <w:r w:rsidRPr="00030313">
        <w:rPr>
          <w:rFonts w:ascii="Times New Roman" w:hAnsi="Times New Roman"/>
          <w:bCs/>
          <w:iCs/>
          <w:spacing w:val="5"/>
          <w:sz w:val="28"/>
        </w:rPr>
        <w:t xml:space="preserve"> Por consiguiente, no sería correcto afirmar que los movimientos que teorizan sobre el género y </w:t>
      </w:r>
      <w:r w:rsidRPr="00030313">
        <w:rPr>
          <w:rFonts w:ascii="Times New Roman" w:hAnsi="Times New Roman"/>
          <w:bCs/>
          <w:iCs/>
          <w:spacing w:val="5"/>
          <w:sz w:val="28"/>
        </w:rPr>
        <w:t xml:space="preserve">también controvierten las </w:t>
      </w:r>
      <w:r w:rsidRPr="00030313">
        <w:rPr>
          <w:rFonts w:ascii="Times New Roman" w:hAnsi="Times New Roman"/>
          <w:bCs/>
          <w:iCs/>
          <w:spacing w:val="5"/>
          <w:sz w:val="28"/>
        </w:rPr>
        <w:t>ideas binarias tradicionales de sus categorías solo están asociadas con movimientos feministas o, en todo caso, con luchas sociales vinculadas a la igualdad social, política, económica y cultural de las mujeres en nuestra sociedad.</w:t>
      </w:r>
      <w:r w:rsidRPr="00030313">
        <w:rPr>
          <w:rFonts w:ascii="Times New Roman" w:hAnsi="Times New Roman"/>
          <w:bCs/>
          <w:iCs/>
          <w:spacing w:val="5"/>
          <w:sz w:val="28"/>
        </w:rPr>
        <w:t xml:space="preserve"> Entre los elementos </w:t>
      </w:r>
      <w:r w:rsidRPr="00030313">
        <w:rPr>
          <w:rFonts w:ascii="Times New Roman" w:hAnsi="Times New Roman"/>
          <w:bCs/>
          <w:iCs/>
          <w:spacing w:val="5"/>
          <w:sz w:val="28"/>
        </w:rPr>
        <w:t xml:space="preserve">que </w:t>
      </w:r>
      <w:r w:rsidRPr="00030313">
        <w:rPr>
          <w:rFonts w:ascii="Times New Roman" w:hAnsi="Times New Roman"/>
          <w:bCs/>
          <w:iCs/>
          <w:spacing w:val="5"/>
          <w:sz w:val="28"/>
        </w:rPr>
        <w:t>apalancan las</w:t>
      </w:r>
      <w:r w:rsidRPr="00030313">
        <w:rPr>
          <w:rFonts w:ascii="Times New Roman" w:hAnsi="Times New Roman"/>
          <w:bCs/>
          <w:iCs/>
          <w:spacing w:val="5"/>
          <w:sz w:val="28"/>
        </w:rPr>
        <w:t xml:space="preserve"> luchas sociales de quienes se identifican como “no binarios”, se encuentran, por ejemplo: </w:t>
      </w:r>
      <w:r w:rsidRPr="00030313">
        <w:rPr>
          <w:rFonts w:ascii="Times New Roman" w:hAnsi="Times New Roman"/>
          <w:bCs/>
          <w:i/>
          <w:spacing w:val="5"/>
          <w:sz w:val="28"/>
        </w:rPr>
        <w:t xml:space="preserve">(i) </w:t>
      </w:r>
      <w:r w:rsidRPr="00030313">
        <w:rPr>
          <w:rFonts w:ascii="Times New Roman" w:hAnsi="Times New Roman"/>
          <w:bCs/>
          <w:iCs/>
          <w:spacing w:val="5"/>
          <w:sz w:val="28"/>
        </w:rPr>
        <w:t xml:space="preserve">realizar estadísticas públicas y serias en torno a quienes se identifican como </w:t>
      </w:r>
      <w:r w:rsidRPr="00030313">
        <w:rPr>
          <w:rFonts w:ascii="Times New Roman" w:hAnsi="Times New Roman"/>
          <w:bCs/>
          <w:iCs/>
          <w:spacing w:val="5"/>
          <w:sz w:val="28"/>
        </w:rPr>
        <w:t xml:space="preserve">tal </w:t>
      </w:r>
      <w:r w:rsidRPr="00030313">
        <w:rPr>
          <w:rFonts w:ascii="Times New Roman" w:hAnsi="Times New Roman"/>
          <w:bCs/>
          <w:iCs/>
          <w:spacing w:val="5"/>
          <w:sz w:val="28"/>
        </w:rPr>
        <w:t xml:space="preserve">en la sociedad; </w:t>
      </w:r>
      <w:r w:rsidRPr="00030313">
        <w:rPr>
          <w:rFonts w:ascii="Times New Roman" w:hAnsi="Times New Roman"/>
          <w:bCs/>
          <w:i/>
          <w:spacing w:val="5"/>
          <w:sz w:val="28"/>
        </w:rPr>
        <w:t>(ii)</w:t>
      </w:r>
      <w:r w:rsidRPr="00030313">
        <w:rPr>
          <w:rFonts w:ascii="Times New Roman" w:hAnsi="Times New Roman"/>
          <w:bCs/>
          <w:i/>
          <w:spacing w:val="5"/>
          <w:sz w:val="28"/>
        </w:rPr>
        <w:t xml:space="preserve"> </w:t>
      </w:r>
      <w:r w:rsidRPr="00030313">
        <w:rPr>
          <w:rFonts w:ascii="Times New Roman" w:hAnsi="Times New Roman"/>
          <w:bCs/>
          <w:iCs/>
          <w:spacing w:val="5"/>
          <w:sz w:val="28"/>
        </w:rPr>
        <w:t xml:space="preserve">apoyar a quienes se identifican como </w:t>
      </w:r>
      <w:r w:rsidRPr="00030313">
        <w:rPr>
          <w:rFonts w:ascii="Times New Roman" w:hAnsi="Times New Roman"/>
          <w:bCs/>
          <w:iCs/>
          <w:spacing w:val="5"/>
          <w:sz w:val="28"/>
        </w:rPr>
        <w:t xml:space="preserve">“no </w:t>
      </w:r>
      <w:r w:rsidRPr="00030313">
        <w:rPr>
          <w:rFonts w:ascii="Times New Roman" w:hAnsi="Times New Roman"/>
          <w:bCs/>
          <w:iCs/>
          <w:spacing w:val="5"/>
          <w:sz w:val="28"/>
        </w:rPr>
        <w:t>binarios”</w:t>
      </w:r>
      <w:r w:rsidRPr="00030313">
        <w:rPr>
          <w:rFonts w:ascii="Times New Roman" w:hAnsi="Times New Roman"/>
          <w:bCs/>
          <w:iCs/>
          <w:spacing w:val="5"/>
          <w:sz w:val="28"/>
        </w:rPr>
        <w:t xml:space="preserve"> para que </w:t>
      </w:r>
      <w:r w:rsidRPr="00030313">
        <w:rPr>
          <w:rFonts w:ascii="Times New Roman" w:hAnsi="Times New Roman"/>
          <w:bCs/>
          <w:iCs/>
          <w:spacing w:val="5"/>
          <w:sz w:val="28"/>
        </w:rPr>
        <w:t>dicho género</w:t>
      </w:r>
      <w:r w:rsidRPr="00030313">
        <w:rPr>
          <w:rFonts w:ascii="Times New Roman" w:hAnsi="Times New Roman"/>
          <w:bCs/>
          <w:iCs/>
          <w:spacing w:val="5"/>
          <w:sz w:val="28"/>
        </w:rPr>
        <w:t xml:space="preserve"> </w:t>
      </w:r>
      <w:r w:rsidRPr="00030313">
        <w:rPr>
          <w:rFonts w:ascii="Times New Roman" w:hAnsi="Times New Roman"/>
          <w:bCs/>
          <w:iCs/>
          <w:spacing w:val="5"/>
          <w:sz w:val="28"/>
        </w:rPr>
        <w:t xml:space="preserve">se consigne en su documento de identidad como parte de su autodeterminación; </w:t>
      </w:r>
      <w:r w:rsidRPr="00030313">
        <w:rPr>
          <w:rFonts w:ascii="Times New Roman" w:hAnsi="Times New Roman"/>
          <w:bCs/>
          <w:i/>
          <w:spacing w:val="5"/>
          <w:sz w:val="28"/>
        </w:rPr>
        <w:t xml:space="preserve">(iii) </w:t>
      </w:r>
      <w:r w:rsidRPr="00030313">
        <w:rPr>
          <w:rFonts w:ascii="Times New Roman" w:hAnsi="Times New Roman"/>
          <w:bCs/>
          <w:iCs/>
          <w:spacing w:val="5"/>
          <w:sz w:val="28"/>
        </w:rPr>
        <w:t xml:space="preserve">emprender programas </w:t>
      </w:r>
      <w:r w:rsidRPr="00030313">
        <w:rPr>
          <w:rFonts w:ascii="Times New Roman" w:hAnsi="Times New Roman"/>
          <w:bCs/>
          <w:iCs/>
          <w:spacing w:val="5"/>
          <w:sz w:val="28"/>
        </w:rPr>
        <w:t>pedagógicos que eduquen a la sociedad contemporánea sobre las nuevas formas de identificarse</w:t>
      </w:r>
      <w:r w:rsidRPr="00030313">
        <w:rPr>
          <w:rFonts w:ascii="Times New Roman" w:hAnsi="Times New Roman"/>
          <w:bCs/>
          <w:iCs/>
          <w:spacing w:val="5"/>
          <w:sz w:val="28"/>
        </w:rPr>
        <w:t xml:space="preserve"> y auto</w:t>
      </w:r>
      <w:r w:rsidRPr="00030313">
        <w:rPr>
          <w:rFonts w:ascii="Times New Roman" w:hAnsi="Times New Roman"/>
          <w:bCs/>
          <w:iCs/>
          <w:spacing w:val="5"/>
          <w:sz w:val="28"/>
        </w:rPr>
        <w:t>-</w:t>
      </w:r>
      <w:r w:rsidRPr="00030313">
        <w:rPr>
          <w:rFonts w:ascii="Times New Roman" w:hAnsi="Times New Roman"/>
          <w:bCs/>
          <w:iCs/>
          <w:spacing w:val="5"/>
          <w:sz w:val="28"/>
        </w:rPr>
        <w:t>percibirse</w:t>
      </w:r>
      <w:r w:rsidRPr="00030313">
        <w:rPr>
          <w:rFonts w:ascii="Times New Roman" w:hAnsi="Times New Roman"/>
          <w:bCs/>
          <w:iCs/>
          <w:spacing w:val="5"/>
          <w:sz w:val="28"/>
        </w:rPr>
        <w:t xml:space="preserve">; y </w:t>
      </w:r>
      <w:r w:rsidRPr="00030313">
        <w:rPr>
          <w:rFonts w:ascii="Times New Roman" w:hAnsi="Times New Roman"/>
          <w:bCs/>
          <w:i/>
          <w:spacing w:val="5"/>
          <w:sz w:val="28"/>
        </w:rPr>
        <w:t xml:space="preserve">(iv) </w:t>
      </w:r>
      <w:r w:rsidRPr="00030313">
        <w:rPr>
          <w:rFonts w:ascii="Times New Roman" w:hAnsi="Times New Roman"/>
          <w:bCs/>
          <w:iCs/>
          <w:spacing w:val="5"/>
          <w:sz w:val="28"/>
        </w:rPr>
        <w:t xml:space="preserve">proveer las herramientas de salud necesarias para las personas que se identifican como “no binarias” y hacer de sus necesidades una preocupación </w:t>
      </w:r>
      <w:r w:rsidRPr="00030313">
        <w:rPr>
          <w:rFonts w:ascii="Times New Roman" w:hAnsi="Times New Roman"/>
          <w:bCs/>
          <w:iCs/>
          <w:spacing w:val="5"/>
          <w:sz w:val="28"/>
        </w:rPr>
        <w:t>socialmente relevante</w:t>
      </w:r>
      <w:r w:rsidRPr="00030313">
        <w:rPr>
          <w:rFonts w:ascii="Times New Roman" w:hAnsi="Times New Roman"/>
          <w:bCs/>
          <w:iCs/>
          <w:spacing w:val="5"/>
          <w:sz w:val="28"/>
        </w:rPr>
        <w:t>, entre otros</w:t>
      </w:r>
      <w:r w:rsidRPr="00030313">
        <w:rPr>
          <w:rStyle w:val="Refdenotaalpie"/>
          <w:rFonts w:ascii="Times New Roman" w:hAnsi="Times New Roman"/>
          <w:bCs/>
          <w:iCs/>
          <w:spacing w:val="5"/>
          <w:sz w:val="28"/>
        </w:rPr>
        <w:footnoteReference w:id="69"/>
      </w:r>
      <w:r w:rsidRPr="00030313">
        <w:rPr>
          <w:rFonts w:ascii="Times New Roman" w:hAnsi="Times New Roman"/>
          <w:bCs/>
          <w:iCs/>
          <w:spacing w:val="5"/>
          <w:sz w:val="28"/>
        </w:rPr>
        <w:t xml:space="preserve">. </w:t>
      </w:r>
    </w:p>
    <w:p w:rsidR="00C54DBE" w:rsidRPr="00030313" w:rsidRDefault="00030313" w:rsidP="00C61937">
      <w:pPr>
        <w:jc w:val="both"/>
        <w:rPr>
          <w:rFonts w:ascii="Times New Roman" w:hAnsi="Times New Roman"/>
          <w:b/>
          <w:iCs/>
          <w:spacing w:val="5"/>
          <w:sz w:val="28"/>
        </w:rPr>
      </w:pPr>
    </w:p>
    <w:p w:rsidR="0046431C" w:rsidRPr="00030313" w:rsidRDefault="00030313" w:rsidP="00C61937">
      <w:pPr>
        <w:numPr>
          <w:ilvl w:val="0"/>
          <w:numId w:val="6"/>
        </w:numPr>
        <w:ind w:left="0" w:firstLine="0"/>
        <w:jc w:val="both"/>
        <w:rPr>
          <w:rFonts w:ascii="Times New Roman" w:hAnsi="Times New Roman"/>
          <w:b/>
          <w:iCs/>
          <w:spacing w:val="5"/>
          <w:sz w:val="28"/>
        </w:rPr>
      </w:pPr>
      <w:r w:rsidRPr="00030313">
        <w:rPr>
          <w:rFonts w:ascii="Times New Roman" w:hAnsi="Times New Roman"/>
          <w:bCs/>
          <w:iCs/>
          <w:spacing w:val="5"/>
          <w:sz w:val="28"/>
        </w:rPr>
        <w:t>E</w:t>
      </w:r>
      <w:r w:rsidRPr="00030313">
        <w:rPr>
          <w:rFonts w:ascii="Times New Roman" w:hAnsi="Times New Roman"/>
          <w:bCs/>
          <w:iCs/>
          <w:spacing w:val="5"/>
          <w:sz w:val="28"/>
        </w:rPr>
        <w:t xml:space="preserve">l término “no binario” </w:t>
      </w:r>
      <w:r w:rsidRPr="00030313">
        <w:rPr>
          <w:rFonts w:ascii="Times New Roman" w:hAnsi="Times New Roman"/>
          <w:bCs/>
          <w:iCs/>
          <w:spacing w:val="5"/>
          <w:sz w:val="28"/>
        </w:rPr>
        <w:t xml:space="preserve">es usado por aquellas personas </w:t>
      </w:r>
      <w:r w:rsidRPr="00030313">
        <w:rPr>
          <w:rFonts w:ascii="Times New Roman" w:hAnsi="Times New Roman"/>
          <w:bCs/>
          <w:iCs/>
          <w:spacing w:val="5"/>
          <w:sz w:val="28"/>
        </w:rPr>
        <w:t>cuyas identidades</w:t>
      </w:r>
      <w:r w:rsidRPr="00030313">
        <w:rPr>
          <w:rFonts w:ascii="Times New Roman" w:hAnsi="Times New Roman"/>
          <w:bCs/>
          <w:iCs/>
          <w:spacing w:val="5"/>
          <w:sz w:val="28"/>
        </w:rPr>
        <w:t xml:space="preserve"> de género </w:t>
      </w:r>
      <w:r w:rsidRPr="00030313">
        <w:rPr>
          <w:rFonts w:ascii="Times New Roman" w:hAnsi="Times New Roman"/>
          <w:bCs/>
          <w:iCs/>
          <w:spacing w:val="5"/>
          <w:sz w:val="28"/>
        </w:rPr>
        <w:t>están excluidas de la concepción binaria, socialmente dominante</w:t>
      </w:r>
      <w:r w:rsidRPr="00030313">
        <w:rPr>
          <w:rFonts w:ascii="Times New Roman" w:hAnsi="Times New Roman"/>
          <w:bCs/>
          <w:iCs/>
          <w:spacing w:val="5"/>
          <w:sz w:val="28"/>
        </w:rPr>
        <w:t>; esto es: femenino y masculino</w:t>
      </w:r>
      <w:r w:rsidRPr="00030313">
        <w:rPr>
          <w:rStyle w:val="Refdenotaalpie"/>
          <w:rFonts w:ascii="Times New Roman" w:hAnsi="Times New Roman"/>
          <w:bCs/>
          <w:iCs/>
          <w:spacing w:val="5"/>
          <w:sz w:val="28"/>
        </w:rPr>
        <w:footnoteReference w:id="70"/>
      </w:r>
      <w:r w:rsidRPr="00030313">
        <w:rPr>
          <w:rFonts w:ascii="Times New Roman" w:hAnsi="Times New Roman"/>
          <w:bCs/>
          <w:iCs/>
          <w:spacing w:val="5"/>
          <w:sz w:val="28"/>
        </w:rPr>
        <w:t>.</w:t>
      </w:r>
      <w:r w:rsidRPr="00030313">
        <w:rPr>
          <w:rFonts w:ascii="Times New Roman" w:hAnsi="Times New Roman"/>
          <w:bCs/>
          <w:iCs/>
          <w:spacing w:val="5"/>
          <w:sz w:val="28"/>
        </w:rPr>
        <w:t xml:space="preserve"> </w:t>
      </w:r>
      <w:r w:rsidRPr="00030313">
        <w:rPr>
          <w:rFonts w:ascii="Times New Roman" w:hAnsi="Times New Roman"/>
          <w:bCs/>
          <w:iCs/>
          <w:spacing w:val="5"/>
          <w:sz w:val="28"/>
        </w:rPr>
        <w:t>Los estudios contemporáneos han entendido que no es adecuado entender lo “no binario” como una categoría unívoca y singular sobre la auto-percepción</w:t>
      </w:r>
      <w:r w:rsidRPr="00030313">
        <w:rPr>
          <w:rFonts w:ascii="Times New Roman" w:hAnsi="Times New Roman"/>
          <w:bCs/>
          <w:iCs/>
          <w:spacing w:val="5"/>
          <w:sz w:val="28"/>
        </w:rPr>
        <w:t xml:space="preserve"> y la identidad de género, pues </w:t>
      </w:r>
      <w:r w:rsidRPr="00030313">
        <w:rPr>
          <w:rFonts w:ascii="Times New Roman" w:hAnsi="Times New Roman"/>
          <w:bCs/>
          <w:iCs/>
          <w:spacing w:val="5"/>
          <w:sz w:val="28"/>
        </w:rPr>
        <w:t xml:space="preserve">lo “no binario” abarca una serie de identidades complejas que a la vez, </w:t>
      </w:r>
      <w:r w:rsidRPr="00030313">
        <w:rPr>
          <w:rFonts w:ascii="Times New Roman" w:hAnsi="Times New Roman"/>
          <w:bCs/>
          <w:iCs/>
          <w:spacing w:val="5"/>
          <w:sz w:val="28"/>
        </w:rPr>
        <w:t xml:space="preserve">comprenden y excluyen características de lo tradicionalmente “binario”, y añaden a sus atributos elementos no </w:t>
      </w:r>
      <w:r w:rsidRPr="00030313">
        <w:rPr>
          <w:rFonts w:ascii="Times New Roman" w:hAnsi="Times New Roman"/>
          <w:bCs/>
          <w:iCs/>
          <w:spacing w:val="5"/>
          <w:sz w:val="28"/>
        </w:rPr>
        <w:t>reconocidos por lo</w:t>
      </w:r>
      <w:r w:rsidRPr="00030313">
        <w:rPr>
          <w:rFonts w:ascii="Times New Roman" w:hAnsi="Times New Roman"/>
          <w:bCs/>
          <w:iCs/>
          <w:spacing w:val="5"/>
          <w:sz w:val="28"/>
        </w:rPr>
        <w:t xml:space="preserve"> “normativamente binario</w:t>
      </w:r>
      <w:r w:rsidRPr="00030313">
        <w:rPr>
          <w:rFonts w:ascii="Times New Roman" w:hAnsi="Times New Roman"/>
          <w:bCs/>
          <w:iCs/>
          <w:spacing w:val="5"/>
          <w:sz w:val="28"/>
        </w:rPr>
        <w:t>”</w:t>
      </w:r>
      <w:r w:rsidRPr="00030313">
        <w:rPr>
          <w:rFonts w:ascii="Times New Roman" w:hAnsi="Times New Roman"/>
          <w:bCs/>
          <w:iCs/>
          <w:spacing w:val="5"/>
          <w:sz w:val="28"/>
        </w:rPr>
        <w:t xml:space="preserve">. </w:t>
      </w:r>
      <w:r w:rsidRPr="00030313">
        <w:rPr>
          <w:rFonts w:ascii="Times New Roman" w:hAnsi="Times New Roman"/>
          <w:bCs/>
          <w:iCs/>
          <w:spacing w:val="5"/>
          <w:sz w:val="28"/>
        </w:rPr>
        <w:t>En ese sentido, es importante tener en cuenta que</w:t>
      </w:r>
      <w:r w:rsidRPr="00030313">
        <w:rPr>
          <w:rFonts w:ascii="Times New Roman" w:hAnsi="Times New Roman"/>
          <w:bCs/>
          <w:iCs/>
          <w:spacing w:val="5"/>
          <w:sz w:val="28"/>
        </w:rPr>
        <w:t xml:space="preserve"> las personas</w:t>
      </w:r>
      <w:r w:rsidRPr="00030313">
        <w:rPr>
          <w:rFonts w:ascii="Times New Roman" w:hAnsi="Times New Roman"/>
          <w:bCs/>
          <w:iCs/>
          <w:spacing w:val="5"/>
          <w:sz w:val="28"/>
        </w:rPr>
        <w:t xml:space="preserve"> y los derechos</w:t>
      </w:r>
      <w:r w:rsidRPr="00030313">
        <w:rPr>
          <w:rFonts w:ascii="Times New Roman" w:hAnsi="Times New Roman"/>
          <w:bCs/>
          <w:iCs/>
          <w:spacing w:val="5"/>
          <w:sz w:val="28"/>
        </w:rPr>
        <w:t xml:space="preserve"> </w:t>
      </w:r>
      <w:r w:rsidRPr="00030313">
        <w:rPr>
          <w:rFonts w:ascii="Times New Roman" w:hAnsi="Times New Roman"/>
          <w:bCs/>
          <w:iCs/>
          <w:spacing w:val="5"/>
          <w:sz w:val="28"/>
        </w:rPr>
        <w:t>de quienes</w:t>
      </w:r>
      <w:r w:rsidRPr="00030313">
        <w:rPr>
          <w:rFonts w:ascii="Times New Roman" w:hAnsi="Times New Roman"/>
          <w:bCs/>
          <w:iCs/>
          <w:spacing w:val="5"/>
          <w:sz w:val="28"/>
        </w:rPr>
        <w:t xml:space="preserve"> </w:t>
      </w:r>
      <w:r w:rsidRPr="00030313">
        <w:rPr>
          <w:rFonts w:ascii="Times New Roman" w:hAnsi="Times New Roman"/>
          <w:bCs/>
          <w:iCs/>
          <w:spacing w:val="5"/>
          <w:sz w:val="28"/>
        </w:rPr>
        <w:t>se auto-perciben por medio de estas nuevas</w:t>
      </w:r>
      <w:r w:rsidRPr="00030313">
        <w:rPr>
          <w:rFonts w:ascii="Times New Roman" w:hAnsi="Times New Roman"/>
          <w:bCs/>
          <w:iCs/>
          <w:spacing w:val="5"/>
          <w:sz w:val="28"/>
        </w:rPr>
        <w:t xml:space="preserve"> identidade</w:t>
      </w:r>
      <w:r w:rsidRPr="00030313">
        <w:rPr>
          <w:rFonts w:ascii="Times New Roman" w:hAnsi="Times New Roman"/>
          <w:bCs/>
          <w:iCs/>
          <w:spacing w:val="5"/>
          <w:sz w:val="28"/>
        </w:rPr>
        <w:t xml:space="preserve">s, </w:t>
      </w:r>
      <w:r w:rsidRPr="00030313">
        <w:rPr>
          <w:rFonts w:ascii="Times New Roman" w:hAnsi="Times New Roman"/>
          <w:bCs/>
          <w:iCs/>
          <w:spacing w:val="5"/>
          <w:sz w:val="28"/>
        </w:rPr>
        <w:t>debe</w:t>
      </w:r>
      <w:r w:rsidRPr="00030313">
        <w:rPr>
          <w:rFonts w:ascii="Times New Roman" w:hAnsi="Times New Roman"/>
          <w:bCs/>
          <w:iCs/>
          <w:spacing w:val="5"/>
          <w:sz w:val="28"/>
        </w:rPr>
        <w:t>n</w:t>
      </w:r>
      <w:r w:rsidRPr="00030313">
        <w:rPr>
          <w:rFonts w:ascii="Times New Roman" w:hAnsi="Times New Roman"/>
          <w:bCs/>
          <w:iCs/>
          <w:spacing w:val="5"/>
          <w:sz w:val="28"/>
        </w:rPr>
        <w:t xml:space="preserve"> ser protegida</w:t>
      </w:r>
      <w:r w:rsidRPr="00030313">
        <w:rPr>
          <w:rFonts w:ascii="Times New Roman" w:hAnsi="Times New Roman"/>
          <w:bCs/>
          <w:iCs/>
          <w:spacing w:val="5"/>
          <w:sz w:val="28"/>
        </w:rPr>
        <w:t>s</w:t>
      </w:r>
      <w:r w:rsidRPr="00030313">
        <w:rPr>
          <w:rFonts w:ascii="Times New Roman" w:hAnsi="Times New Roman"/>
          <w:bCs/>
          <w:iCs/>
          <w:spacing w:val="5"/>
          <w:sz w:val="28"/>
        </w:rPr>
        <w:t xml:space="preserve"> y </w:t>
      </w:r>
      <w:r w:rsidRPr="00030313">
        <w:rPr>
          <w:rFonts w:ascii="Times New Roman" w:hAnsi="Times New Roman"/>
          <w:bCs/>
          <w:iCs/>
          <w:spacing w:val="5"/>
          <w:sz w:val="28"/>
        </w:rPr>
        <w:t>salvaguardada</w:t>
      </w:r>
      <w:r w:rsidRPr="00030313">
        <w:rPr>
          <w:rFonts w:ascii="Times New Roman" w:hAnsi="Times New Roman"/>
          <w:bCs/>
          <w:iCs/>
          <w:spacing w:val="5"/>
          <w:sz w:val="28"/>
        </w:rPr>
        <w:t>s</w:t>
      </w:r>
      <w:r w:rsidRPr="00030313">
        <w:rPr>
          <w:rFonts w:ascii="Times New Roman" w:hAnsi="Times New Roman"/>
          <w:bCs/>
          <w:iCs/>
          <w:spacing w:val="5"/>
          <w:sz w:val="28"/>
        </w:rPr>
        <w:t xml:space="preserve"> por el juez constitucional, en tanto que </w:t>
      </w:r>
      <w:r w:rsidRPr="00030313">
        <w:rPr>
          <w:rFonts w:ascii="Times New Roman" w:hAnsi="Times New Roman"/>
          <w:bCs/>
          <w:iCs/>
          <w:spacing w:val="5"/>
          <w:sz w:val="28"/>
        </w:rPr>
        <w:t xml:space="preserve">se </w:t>
      </w:r>
      <w:r w:rsidRPr="00030313">
        <w:rPr>
          <w:rFonts w:ascii="Times New Roman" w:hAnsi="Times New Roman"/>
          <w:bCs/>
          <w:iCs/>
          <w:spacing w:val="5"/>
          <w:sz w:val="28"/>
        </w:rPr>
        <w:t xml:space="preserve">reconoce que todas </w:t>
      </w:r>
      <w:r w:rsidRPr="00030313">
        <w:rPr>
          <w:rFonts w:ascii="Times New Roman" w:hAnsi="Times New Roman"/>
          <w:bCs/>
          <w:iCs/>
          <w:spacing w:val="5"/>
          <w:sz w:val="28"/>
        </w:rPr>
        <w:t xml:space="preserve">estas </w:t>
      </w:r>
      <w:r w:rsidRPr="00030313">
        <w:rPr>
          <w:rFonts w:ascii="Times New Roman" w:hAnsi="Times New Roman"/>
          <w:bCs/>
          <w:iCs/>
          <w:spacing w:val="5"/>
          <w:sz w:val="28"/>
        </w:rPr>
        <w:t>son</w:t>
      </w:r>
      <w:r w:rsidRPr="00030313">
        <w:rPr>
          <w:rFonts w:ascii="Times New Roman" w:hAnsi="Times New Roman"/>
          <w:bCs/>
          <w:iCs/>
          <w:spacing w:val="5"/>
          <w:sz w:val="28"/>
        </w:rPr>
        <w:t xml:space="preserve"> expresiones</w:t>
      </w:r>
      <w:r w:rsidRPr="00030313">
        <w:rPr>
          <w:rFonts w:ascii="Times New Roman" w:hAnsi="Times New Roman"/>
          <w:bCs/>
          <w:iCs/>
          <w:spacing w:val="5"/>
          <w:sz w:val="28"/>
        </w:rPr>
        <w:t xml:space="preserve"> la identidad de género, el ejercicio del libre desarrollo de la personalidad y la igualdad</w:t>
      </w:r>
      <w:r w:rsidRPr="00030313">
        <w:rPr>
          <w:rFonts w:ascii="Times New Roman" w:hAnsi="Times New Roman"/>
          <w:bCs/>
          <w:iCs/>
          <w:spacing w:val="5"/>
          <w:sz w:val="28"/>
        </w:rPr>
        <w:t>; pues esta identificación comprende, en concreto</w:t>
      </w:r>
      <w:r w:rsidRPr="00030313">
        <w:rPr>
          <w:rFonts w:ascii="Times New Roman" w:hAnsi="Times New Roman"/>
          <w:bCs/>
          <w:iCs/>
          <w:spacing w:val="5"/>
          <w:sz w:val="28"/>
        </w:rPr>
        <w:t>, la materialización de la identidad de género como un derecho</w:t>
      </w:r>
      <w:r w:rsidRPr="00030313">
        <w:rPr>
          <w:rFonts w:ascii="Times New Roman" w:hAnsi="Times New Roman"/>
          <w:bCs/>
          <w:iCs/>
          <w:spacing w:val="5"/>
          <w:sz w:val="28"/>
        </w:rPr>
        <w:t xml:space="preserve"> constitucionalmente protegido. </w:t>
      </w:r>
    </w:p>
    <w:p w:rsidR="00E43E46" w:rsidRPr="00030313" w:rsidRDefault="00030313" w:rsidP="00C61937">
      <w:pPr>
        <w:jc w:val="both"/>
        <w:rPr>
          <w:rFonts w:ascii="Times New Roman" w:hAnsi="Times New Roman"/>
          <w:b/>
          <w:iCs/>
          <w:spacing w:val="5"/>
          <w:sz w:val="28"/>
        </w:rPr>
      </w:pPr>
    </w:p>
    <w:p w:rsidR="00E43E46" w:rsidRPr="00030313" w:rsidRDefault="00030313" w:rsidP="00C61937">
      <w:pPr>
        <w:numPr>
          <w:ilvl w:val="0"/>
          <w:numId w:val="6"/>
        </w:numPr>
        <w:ind w:left="0" w:right="51" w:firstLine="0"/>
        <w:jc w:val="both"/>
        <w:rPr>
          <w:rFonts w:ascii="Times New Roman" w:hAnsi="Times New Roman"/>
          <w:bCs/>
          <w:iCs/>
          <w:spacing w:val="5"/>
          <w:sz w:val="28"/>
        </w:rPr>
      </w:pPr>
      <w:r w:rsidRPr="00030313">
        <w:rPr>
          <w:rFonts w:ascii="Times New Roman" w:hAnsi="Times New Roman"/>
          <w:bCs/>
          <w:iCs/>
          <w:spacing w:val="5"/>
          <w:sz w:val="28"/>
        </w:rPr>
        <w:t>Ahora</w:t>
      </w:r>
      <w:r w:rsidRPr="00030313">
        <w:rPr>
          <w:rFonts w:ascii="Times New Roman" w:hAnsi="Times New Roman"/>
          <w:bCs/>
          <w:iCs/>
          <w:spacing w:val="5"/>
          <w:sz w:val="28"/>
        </w:rPr>
        <w:t xml:space="preserve"> bien, por medio de la Sentencia T-033 de 2022, esta Corporación analizó el caso de una persona que presentó una acción de tutela en búsqueda de que se le protegieran sus derechos a la dignidad, humana, la personalidad jurídica, el libre desarrollo de la p</w:t>
      </w:r>
      <w:r w:rsidRPr="00030313">
        <w:rPr>
          <w:rFonts w:ascii="Times New Roman" w:hAnsi="Times New Roman"/>
          <w:bCs/>
          <w:iCs/>
          <w:spacing w:val="5"/>
          <w:sz w:val="28"/>
        </w:rPr>
        <w:t>ersonalidad y la libertad de conciencia, al considerar que la omisión de Registraduría Nacional del Estado Civil y una Notaría de Medellín de cambiar su nombre y modificar información de su documento de identidad, se había traducido en una vulneración de l</w:t>
      </w:r>
      <w:r w:rsidRPr="00030313">
        <w:rPr>
          <w:rFonts w:ascii="Times New Roman" w:hAnsi="Times New Roman"/>
          <w:bCs/>
          <w:iCs/>
          <w:spacing w:val="5"/>
          <w:sz w:val="28"/>
        </w:rPr>
        <w:t>os derechos fundamentales enunciados previamente. En dicha oportunidad, la Corte reiteró la jurisprudencia en torno a la identidad de género como un derecho fundamental y, además, precisó que, en relación a la corrección de documentos de identificación, lo</w:t>
      </w:r>
      <w:r w:rsidRPr="00030313">
        <w:rPr>
          <w:rFonts w:ascii="Times New Roman" w:hAnsi="Times New Roman"/>
          <w:bCs/>
          <w:iCs/>
          <w:spacing w:val="5"/>
          <w:sz w:val="28"/>
        </w:rPr>
        <w:t xml:space="preserve"> ideal para tales trámites es que se realicen por medios administrativos y no judiciales</w:t>
      </w:r>
      <w:r w:rsidRPr="00030313">
        <w:rPr>
          <w:rStyle w:val="Refdenotaalpie"/>
          <w:rFonts w:ascii="Times New Roman" w:hAnsi="Times New Roman"/>
          <w:bCs/>
          <w:iCs/>
          <w:spacing w:val="5"/>
          <w:sz w:val="28"/>
        </w:rPr>
        <w:footnoteReference w:id="71"/>
      </w:r>
      <w:r w:rsidRPr="00030313">
        <w:rPr>
          <w:rFonts w:ascii="Times New Roman" w:hAnsi="Times New Roman"/>
          <w:bCs/>
          <w:iCs/>
          <w:spacing w:val="5"/>
          <w:sz w:val="28"/>
        </w:rPr>
        <w:t>.</w:t>
      </w:r>
      <w:r w:rsidRPr="00030313">
        <w:rPr>
          <w:rFonts w:ascii="Times New Roman" w:hAnsi="Times New Roman"/>
          <w:bCs/>
          <w:iCs/>
          <w:spacing w:val="5"/>
          <w:sz w:val="28"/>
        </w:rPr>
        <w:t xml:space="preserve"> Además, indicó que la corrección de datos de identificación es posible mediante dos mecanismos: el primero, administrativo, que sigue las particularidades de los Decretos 1260 de 1970, 999 de 1988, 1227 de 2015 y 1664 de 2015. El segundo, involucra un pro</w:t>
      </w:r>
      <w:r w:rsidRPr="00030313">
        <w:rPr>
          <w:rFonts w:ascii="Times New Roman" w:hAnsi="Times New Roman"/>
          <w:bCs/>
          <w:iCs/>
          <w:spacing w:val="5"/>
          <w:sz w:val="28"/>
        </w:rPr>
        <w:t>ceso de jurisdicción voluntaria previsto en el artículo 577 del Código General del Proceso, contenido en ley 1564 de 2012, el cual se adelanta ante un juez civil municipal. La providencia también preció lo expuesto en los artículos 2.2.6.12.4.3. y 2.2.6.12</w:t>
      </w:r>
      <w:r w:rsidRPr="00030313">
        <w:rPr>
          <w:rFonts w:ascii="Times New Roman" w:hAnsi="Times New Roman"/>
          <w:bCs/>
          <w:iCs/>
          <w:spacing w:val="5"/>
          <w:sz w:val="28"/>
        </w:rPr>
        <w:t xml:space="preserve">.4.6. del Decreto 1227 de 2015 en cuanto al cambio del sexo y reiteró la jurisprudencia en torno al tema. Con todo, la providencia resaltó que, respecto al reconocimiento de identidades de género no binarias en distintos de documentos de identificación en </w:t>
      </w:r>
      <w:r w:rsidRPr="00030313">
        <w:rPr>
          <w:rFonts w:ascii="Times New Roman" w:hAnsi="Times New Roman"/>
          <w:bCs/>
          <w:iCs/>
          <w:spacing w:val="5"/>
          <w:sz w:val="28"/>
        </w:rPr>
        <w:t>el mundo, se han observado avances en materia del marcador de sexo, pero en ocasiones permanecen las lógicas binarias en los documentos de identidad de las personas</w:t>
      </w:r>
      <w:r w:rsidRPr="00030313">
        <w:rPr>
          <w:rStyle w:val="Refdenotaalpie"/>
          <w:rFonts w:ascii="Times New Roman" w:hAnsi="Times New Roman"/>
          <w:bCs/>
          <w:iCs/>
          <w:spacing w:val="5"/>
          <w:sz w:val="28"/>
        </w:rPr>
        <w:footnoteReference w:id="72"/>
      </w:r>
      <w:r w:rsidRPr="00030313">
        <w:rPr>
          <w:rFonts w:ascii="Times New Roman" w:hAnsi="Times New Roman"/>
          <w:bCs/>
          <w:iCs/>
          <w:spacing w:val="5"/>
          <w:sz w:val="28"/>
        </w:rPr>
        <w:t>.</w:t>
      </w:r>
    </w:p>
    <w:p w:rsidR="00E43E46" w:rsidRPr="00030313" w:rsidRDefault="00030313" w:rsidP="00C61937">
      <w:pPr>
        <w:ind w:right="51"/>
        <w:jc w:val="both"/>
        <w:rPr>
          <w:rFonts w:ascii="Times New Roman" w:hAnsi="Times New Roman"/>
          <w:bCs/>
          <w:iCs/>
          <w:spacing w:val="5"/>
          <w:sz w:val="28"/>
        </w:rPr>
      </w:pPr>
    </w:p>
    <w:p w:rsidR="00E43E46" w:rsidRPr="00030313" w:rsidRDefault="00030313" w:rsidP="00C61937">
      <w:pPr>
        <w:numPr>
          <w:ilvl w:val="0"/>
          <w:numId w:val="6"/>
        </w:numPr>
        <w:ind w:left="0" w:right="51" w:firstLine="0"/>
        <w:jc w:val="both"/>
        <w:rPr>
          <w:rFonts w:ascii="Times New Roman" w:hAnsi="Times New Roman"/>
          <w:bCs/>
          <w:i/>
          <w:spacing w:val="5"/>
          <w:sz w:val="28"/>
        </w:rPr>
      </w:pPr>
      <w:r w:rsidRPr="00030313">
        <w:rPr>
          <w:rFonts w:ascii="Times New Roman" w:hAnsi="Times New Roman"/>
          <w:bCs/>
          <w:iCs/>
          <w:spacing w:val="5"/>
          <w:sz w:val="28"/>
        </w:rPr>
        <w:t>Sobre el asunto particular, la Sentencia T-033 de 2022 refirió que, sobre el cambio de s</w:t>
      </w:r>
      <w:r w:rsidRPr="00030313">
        <w:rPr>
          <w:rFonts w:ascii="Times New Roman" w:hAnsi="Times New Roman"/>
          <w:bCs/>
          <w:iCs/>
          <w:spacing w:val="5"/>
          <w:sz w:val="28"/>
        </w:rPr>
        <w:t>exo, la jurisprudencia constitucional estableció una interpretación sobre “</w:t>
      </w:r>
      <w:r w:rsidRPr="00030313">
        <w:rPr>
          <w:rFonts w:ascii="Times New Roman" w:hAnsi="Times New Roman"/>
          <w:bCs/>
          <w:i/>
          <w:spacing w:val="5"/>
          <w:sz w:val="28"/>
        </w:rPr>
        <w:t>(i) la naturaleza de la identidad de género, definida por cada persona de modo autónomo; (ii) la necesidad de que los documentos de identidad reflejen el género como medio para la i</w:t>
      </w:r>
      <w:r w:rsidRPr="00030313">
        <w:rPr>
          <w:rFonts w:ascii="Times New Roman" w:hAnsi="Times New Roman"/>
          <w:bCs/>
          <w:i/>
          <w:spacing w:val="5"/>
          <w:sz w:val="28"/>
        </w:rPr>
        <w:t>dentificación; y (iii) la grave afectación de los derechos que supone la falta de concordancia entre la identidad y la información consignada en el componente sexo en los documentos de identidad”</w:t>
      </w:r>
      <w:r w:rsidRPr="00030313">
        <w:rPr>
          <w:rStyle w:val="Refdenotaalpie"/>
          <w:rFonts w:ascii="Times New Roman" w:hAnsi="Times New Roman"/>
          <w:bCs/>
          <w:i/>
          <w:spacing w:val="5"/>
          <w:sz w:val="28"/>
        </w:rPr>
        <w:footnoteReference w:id="73"/>
      </w:r>
      <w:r w:rsidRPr="00030313">
        <w:rPr>
          <w:rFonts w:ascii="Times New Roman" w:hAnsi="Times New Roman"/>
          <w:bCs/>
          <w:i/>
          <w:spacing w:val="5"/>
          <w:sz w:val="28"/>
        </w:rPr>
        <w:t>.</w:t>
      </w:r>
      <w:r w:rsidRPr="00030313">
        <w:rPr>
          <w:rFonts w:ascii="Times New Roman" w:hAnsi="Times New Roman"/>
          <w:bCs/>
          <w:i/>
          <w:spacing w:val="5"/>
          <w:sz w:val="28"/>
        </w:rPr>
        <w:t xml:space="preserve"> </w:t>
      </w:r>
      <w:r w:rsidRPr="00030313">
        <w:rPr>
          <w:rFonts w:ascii="Times New Roman" w:hAnsi="Times New Roman"/>
          <w:bCs/>
          <w:iCs/>
          <w:spacing w:val="5"/>
          <w:sz w:val="28"/>
        </w:rPr>
        <w:t xml:space="preserve">En ese sentido, consideró que la omisión de las entidades </w:t>
      </w:r>
      <w:r w:rsidRPr="00030313">
        <w:rPr>
          <w:rFonts w:ascii="Times New Roman" w:hAnsi="Times New Roman"/>
          <w:bCs/>
          <w:iCs/>
          <w:spacing w:val="5"/>
          <w:sz w:val="28"/>
        </w:rPr>
        <w:t>accionadas de representar la identidad “no binaria” de la persona demandante en dicha oportunidad en su documento de identidad, se tradujo en una vulneración a sus derechos fundamentales. En aras de contribuir a la justicia material sobre el asunto, la pro</w:t>
      </w:r>
      <w:r w:rsidRPr="00030313">
        <w:rPr>
          <w:rFonts w:ascii="Times New Roman" w:hAnsi="Times New Roman"/>
          <w:bCs/>
          <w:iCs/>
          <w:spacing w:val="5"/>
          <w:sz w:val="28"/>
        </w:rPr>
        <w:t>videncia entendió que la configuración de un nuevo marcador de género era un paso inicial para la participación social efectiva y el ejercicio de los derechos de una manera amplia; pues, ciertamente, en nuestro ordenamiento jurídico existen normas que encu</w:t>
      </w:r>
      <w:r w:rsidRPr="00030313">
        <w:rPr>
          <w:rFonts w:ascii="Times New Roman" w:hAnsi="Times New Roman"/>
          <w:bCs/>
          <w:iCs/>
          <w:spacing w:val="5"/>
          <w:sz w:val="28"/>
        </w:rPr>
        <w:t xml:space="preserve">entran en el sexo un criterio de asignación que, en casos concretos, puede suponer una clara discriminación para quien, más allá de su sexo biológico, no se identifica con un género binario. En consecuencia, exhortó al Congreso de la República para que en </w:t>
      </w:r>
      <w:r w:rsidRPr="00030313">
        <w:rPr>
          <w:rFonts w:ascii="Times New Roman" w:hAnsi="Times New Roman"/>
          <w:bCs/>
          <w:iCs/>
          <w:spacing w:val="5"/>
          <w:sz w:val="28"/>
        </w:rPr>
        <w:t>el término de dos años, regulara todos aquellos derechos, obligaciones y servicios que encuentran en el sexo o género, un criterio de asignación. Esta providencia fue fundamental para proteger los derechos de las personas que se identifican como “no binari</w:t>
      </w:r>
      <w:r w:rsidRPr="00030313">
        <w:rPr>
          <w:rFonts w:ascii="Times New Roman" w:hAnsi="Times New Roman"/>
          <w:bCs/>
          <w:iCs/>
          <w:spacing w:val="5"/>
          <w:sz w:val="28"/>
        </w:rPr>
        <w:t>as” y que requieren de una protección del Estado para materializar sus derechos fundamentales</w:t>
      </w:r>
      <w:r w:rsidRPr="00030313">
        <w:rPr>
          <w:rFonts w:ascii="Times New Roman" w:hAnsi="Times New Roman"/>
          <w:bCs/>
          <w:iCs/>
          <w:spacing w:val="5"/>
          <w:sz w:val="28"/>
        </w:rPr>
        <w:t xml:space="preserve">, ya que incluyó el componente “No Binario” dentro de los marcadores de “sexo” en el registro civil </w:t>
      </w:r>
      <w:r w:rsidRPr="00030313">
        <w:rPr>
          <w:rFonts w:ascii="Times New Roman" w:hAnsi="Times New Roman"/>
          <w:bCs/>
          <w:iCs/>
          <w:spacing w:val="5"/>
          <w:sz w:val="28"/>
        </w:rPr>
        <w:t xml:space="preserve">y cédula de ciudadanía. </w:t>
      </w:r>
    </w:p>
    <w:p w:rsidR="006704DE" w:rsidRPr="00030313" w:rsidRDefault="00030313" w:rsidP="00C61937">
      <w:pPr>
        <w:jc w:val="both"/>
        <w:rPr>
          <w:rFonts w:ascii="Times New Roman" w:hAnsi="Times New Roman"/>
          <w:b/>
          <w:iCs/>
          <w:spacing w:val="5"/>
          <w:sz w:val="28"/>
        </w:rPr>
      </w:pPr>
    </w:p>
    <w:p w:rsidR="00B54909" w:rsidRPr="00030313" w:rsidRDefault="00030313" w:rsidP="00C61937">
      <w:pPr>
        <w:numPr>
          <w:ilvl w:val="0"/>
          <w:numId w:val="6"/>
        </w:numPr>
        <w:ind w:left="0" w:firstLine="0"/>
        <w:jc w:val="both"/>
        <w:rPr>
          <w:rFonts w:ascii="Times New Roman" w:hAnsi="Times New Roman"/>
          <w:b/>
          <w:iCs/>
          <w:spacing w:val="5"/>
          <w:sz w:val="28"/>
        </w:rPr>
      </w:pPr>
      <w:r w:rsidRPr="00030313">
        <w:rPr>
          <w:rFonts w:ascii="Times New Roman" w:hAnsi="Times New Roman"/>
          <w:bCs/>
          <w:iCs/>
          <w:spacing w:val="5"/>
          <w:sz w:val="28"/>
        </w:rPr>
        <w:t>En suma, e</w:t>
      </w:r>
      <w:r w:rsidRPr="00030313">
        <w:rPr>
          <w:rFonts w:ascii="Times New Roman" w:hAnsi="Times New Roman"/>
          <w:bCs/>
          <w:iCs/>
          <w:spacing w:val="5"/>
          <w:sz w:val="28"/>
        </w:rPr>
        <w:t xml:space="preserve">l derecho fundamental a la </w:t>
      </w:r>
      <w:r w:rsidRPr="00030313">
        <w:rPr>
          <w:rFonts w:ascii="Times New Roman" w:hAnsi="Times New Roman"/>
          <w:bCs/>
          <w:iCs/>
          <w:spacing w:val="5"/>
          <w:sz w:val="28"/>
        </w:rPr>
        <w:t>identidad de género es “</w:t>
      </w:r>
      <w:r w:rsidRPr="00030313">
        <w:rPr>
          <w:rFonts w:ascii="Times New Roman" w:hAnsi="Times New Roman"/>
          <w:bCs/>
          <w:i/>
          <w:spacing w:val="5"/>
          <w:sz w:val="28"/>
        </w:rPr>
        <w:t>el derecho que le asiste a toda persona a (i) construir y desarrollar su vivencia de género, de manera autónoma, privada y libre de injerencias y (ii) reivindicar para sí la categoría identitaria que mejor represente su manera de co</w:t>
      </w:r>
      <w:r w:rsidRPr="00030313">
        <w:rPr>
          <w:rFonts w:ascii="Times New Roman" w:hAnsi="Times New Roman"/>
          <w:bCs/>
          <w:i/>
          <w:spacing w:val="5"/>
          <w:sz w:val="28"/>
        </w:rPr>
        <w:t>ncebir la expresión de tal identidad.”</w:t>
      </w:r>
      <w:r w:rsidRPr="00030313">
        <w:rPr>
          <w:rFonts w:ascii="Times New Roman" w:hAnsi="Times New Roman"/>
          <w:bCs/>
          <w:iCs/>
          <w:spacing w:val="5"/>
          <w:sz w:val="28"/>
        </w:rPr>
        <w:t xml:space="preserve"> Aunado a lo anterior, la </w:t>
      </w:r>
      <w:r w:rsidRPr="00030313">
        <w:rPr>
          <w:rFonts w:ascii="Times New Roman" w:hAnsi="Times New Roman"/>
          <w:bCs/>
          <w:iCs/>
          <w:spacing w:val="5"/>
          <w:sz w:val="28"/>
        </w:rPr>
        <w:t>Sentencia SU-440 de 2021</w:t>
      </w:r>
      <w:r w:rsidRPr="00030313">
        <w:rPr>
          <w:rFonts w:ascii="Times New Roman" w:hAnsi="Times New Roman"/>
          <w:bCs/>
          <w:iCs/>
          <w:spacing w:val="5"/>
          <w:sz w:val="28"/>
        </w:rPr>
        <w:t xml:space="preserve"> estimó que el ámbito de protección del derecho fundamental a la identidad de género comprende, esencialmente, tres garantías </w:t>
      </w:r>
      <w:r w:rsidRPr="00030313">
        <w:rPr>
          <w:rFonts w:ascii="Times New Roman" w:hAnsi="Times New Roman"/>
          <w:bCs/>
          <w:i/>
          <w:spacing w:val="5"/>
          <w:sz w:val="28"/>
        </w:rPr>
        <w:t>iusfundamentales</w:t>
      </w:r>
      <w:r w:rsidRPr="00030313">
        <w:rPr>
          <w:rFonts w:ascii="Times New Roman" w:hAnsi="Times New Roman"/>
          <w:bCs/>
          <w:iCs/>
          <w:spacing w:val="5"/>
          <w:sz w:val="28"/>
        </w:rPr>
        <w:t xml:space="preserve">: </w:t>
      </w:r>
      <w:r w:rsidRPr="00030313">
        <w:rPr>
          <w:rFonts w:ascii="Times New Roman" w:hAnsi="Times New Roman"/>
          <w:bCs/>
          <w:i/>
          <w:spacing w:val="5"/>
          <w:sz w:val="28"/>
        </w:rPr>
        <w:t xml:space="preserve">(i) </w:t>
      </w:r>
      <w:r w:rsidRPr="00030313">
        <w:rPr>
          <w:rFonts w:ascii="Times New Roman" w:hAnsi="Times New Roman"/>
          <w:bCs/>
          <w:iCs/>
          <w:spacing w:val="5"/>
          <w:sz w:val="28"/>
        </w:rPr>
        <w:t>la facultad de desar</w:t>
      </w:r>
      <w:r w:rsidRPr="00030313">
        <w:rPr>
          <w:rFonts w:ascii="Times New Roman" w:hAnsi="Times New Roman"/>
          <w:bCs/>
          <w:iCs/>
          <w:spacing w:val="5"/>
          <w:sz w:val="28"/>
        </w:rPr>
        <w:t xml:space="preserve">rollar la identidad de género de forma libre y autónoma; </w:t>
      </w:r>
      <w:r w:rsidRPr="00030313">
        <w:rPr>
          <w:rFonts w:ascii="Times New Roman" w:hAnsi="Times New Roman"/>
          <w:bCs/>
          <w:i/>
          <w:spacing w:val="5"/>
          <w:sz w:val="28"/>
        </w:rPr>
        <w:t xml:space="preserve">(ii) </w:t>
      </w:r>
      <w:r w:rsidRPr="00030313">
        <w:rPr>
          <w:rFonts w:ascii="Times New Roman" w:hAnsi="Times New Roman"/>
          <w:bCs/>
          <w:iCs/>
          <w:spacing w:val="5"/>
          <w:sz w:val="28"/>
        </w:rPr>
        <w:t xml:space="preserve">el derecho a la expresión de género; y </w:t>
      </w:r>
      <w:r w:rsidRPr="00030313">
        <w:rPr>
          <w:rFonts w:ascii="Times New Roman" w:hAnsi="Times New Roman"/>
          <w:bCs/>
          <w:i/>
          <w:spacing w:val="5"/>
          <w:sz w:val="28"/>
        </w:rPr>
        <w:t>(</w:t>
      </w:r>
      <w:r w:rsidRPr="00030313">
        <w:rPr>
          <w:rFonts w:ascii="Times New Roman" w:hAnsi="Times New Roman"/>
          <w:bCs/>
          <w:i/>
          <w:spacing w:val="5"/>
          <w:sz w:val="28"/>
        </w:rPr>
        <w:t xml:space="preserve">iii) </w:t>
      </w:r>
      <w:r w:rsidRPr="00030313">
        <w:rPr>
          <w:rFonts w:ascii="Times New Roman" w:hAnsi="Times New Roman"/>
          <w:bCs/>
          <w:iCs/>
          <w:spacing w:val="5"/>
          <w:sz w:val="28"/>
        </w:rPr>
        <w:t>la prohibición de discriminación en razón de la identidad de género</w:t>
      </w:r>
      <w:r w:rsidRPr="00030313">
        <w:rPr>
          <w:rStyle w:val="Refdenotaalpie"/>
          <w:rFonts w:ascii="Times New Roman" w:hAnsi="Times New Roman"/>
          <w:bCs/>
          <w:iCs/>
          <w:spacing w:val="5"/>
          <w:sz w:val="28"/>
        </w:rPr>
        <w:footnoteReference w:id="74"/>
      </w:r>
      <w:r w:rsidRPr="00030313">
        <w:rPr>
          <w:rFonts w:ascii="Times New Roman" w:hAnsi="Times New Roman"/>
          <w:bCs/>
          <w:iCs/>
          <w:spacing w:val="5"/>
          <w:sz w:val="28"/>
        </w:rPr>
        <w:t>.</w:t>
      </w:r>
      <w:r w:rsidRPr="00030313">
        <w:rPr>
          <w:rFonts w:ascii="Times New Roman" w:hAnsi="Times New Roman"/>
          <w:bCs/>
          <w:iCs/>
          <w:spacing w:val="5"/>
          <w:sz w:val="28"/>
        </w:rPr>
        <w:t xml:space="preserve"> </w:t>
      </w:r>
      <w:r w:rsidRPr="00030313">
        <w:rPr>
          <w:rFonts w:ascii="Times New Roman" w:hAnsi="Times New Roman"/>
          <w:bCs/>
          <w:iCs/>
          <w:spacing w:val="5"/>
          <w:sz w:val="28"/>
        </w:rPr>
        <w:t xml:space="preserve">Además, </w:t>
      </w:r>
      <w:r w:rsidRPr="00030313">
        <w:rPr>
          <w:rFonts w:ascii="Times New Roman" w:hAnsi="Times New Roman"/>
          <w:bCs/>
          <w:iCs/>
          <w:spacing w:val="5"/>
          <w:sz w:val="28"/>
        </w:rPr>
        <w:t xml:space="preserve">como bien lo indicó la providencia anteriormente señalada, la </w:t>
      </w:r>
      <w:r w:rsidRPr="00030313">
        <w:rPr>
          <w:rFonts w:ascii="Times New Roman" w:hAnsi="Times New Roman"/>
          <w:bCs/>
          <w:iCs/>
          <w:spacing w:val="5"/>
          <w:sz w:val="28"/>
        </w:rPr>
        <w:t>Constitución Política protege la expresión del género</w:t>
      </w:r>
      <w:r w:rsidRPr="00030313">
        <w:rPr>
          <w:rStyle w:val="Refdenotaalpie"/>
          <w:rFonts w:ascii="Times New Roman" w:hAnsi="Times New Roman"/>
          <w:bCs/>
          <w:iCs/>
          <w:spacing w:val="5"/>
          <w:sz w:val="28"/>
        </w:rPr>
        <w:footnoteReference w:id="75"/>
      </w:r>
      <w:r w:rsidRPr="00030313">
        <w:rPr>
          <w:rFonts w:ascii="Times New Roman" w:hAnsi="Times New Roman"/>
          <w:bCs/>
          <w:iCs/>
          <w:spacing w:val="5"/>
          <w:sz w:val="28"/>
        </w:rPr>
        <w:t>,</w:t>
      </w:r>
      <w:r w:rsidRPr="00030313">
        <w:rPr>
          <w:rFonts w:ascii="Times New Roman" w:hAnsi="Times New Roman"/>
          <w:bCs/>
          <w:iCs/>
          <w:spacing w:val="5"/>
          <w:sz w:val="28"/>
        </w:rPr>
        <w:t xml:space="preserve"> por lo cual </w:t>
      </w:r>
      <w:r w:rsidRPr="00030313">
        <w:rPr>
          <w:rFonts w:ascii="Times New Roman" w:hAnsi="Times New Roman"/>
          <w:bCs/>
          <w:iCs/>
          <w:spacing w:val="5"/>
          <w:sz w:val="28"/>
        </w:rPr>
        <w:t xml:space="preserve">todos los individuos son libres de expresar </w:t>
      </w:r>
      <w:r w:rsidRPr="00030313">
        <w:rPr>
          <w:rFonts w:ascii="Times New Roman" w:hAnsi="Times New Roman"/>
          <w:bCs/>
          <w:iCs/>
          <w:spacing w:val="5"/>
          <w:sz w:val="28"/>
        </w:rPr>
        <w:t xml:space="preserve">su identidad de género a la sociedad a través de su vestimenta, </w:t>
      </w:r>
      <w:r w:rsidRPr="00030313">
        <w:rPr>
          <w:rFonts w:ascii="Times New Roman" w:hAnsi="Times New Roman"/>
          <w:bCs/>
          <w:iCs/>
          <w:spacing w:val="5"/>
          <w:sz w:val="28"/>
        </w:rPr>
        <w:t>el modo de hablar, sus formas de interacción social y</w:t>
      </w:r>
      <w:r w:rsidRPr="00030313">
        <w:rPr>
          <w:rFonts w:ascii="Times New Roman" w:hAnsi="Times New Roman"/>
          <w:bCs/>
          <w:iCs/>
          <w:spacing w:val="5"/>
          <w:sz w:val="28"/>
        </w:rPr>
        <w:t>, en general,</w:t>
      </w:r>
      <w:r w:rsidRPr="00030313">
        <w:rPr>
          <w:rFonts w:ascii="Times New Roman" w:hAnsi="Times New Roman"/>
          <w:bCs/>
          <w:iCs/>
          <w:spacing w:val="5"/>
          <w:sz w:val="28"/>
        </w:rPr>
        <w:t xml:space="preserve"> su</w:t>
      </w:r>
      <w:r w:rsidRPr="00030313">
        <w:rPr>
          <w:rFonts w:ascii="Times New Roman" w:hAnsi="Times New Roman"/>
          <w:bCs/>
          <w:iCs/>
          <w:spacing w:val="5"/>
          <w:sz w:val="28"/>
        </w:rPr>
        <w:t xml:space="preserve"> libre</w:t>
      </w:r>
      <w:r w:rsidRPr="00030313">
        <w:rPr>
          <w:rFonts w:ascii="Times New Roman" w:hAnsi="Times New Roman"/>
          <w:bCs/>
          <w:iCs/>
          <w:spacing w:val="5"/>
          <w:sz w:val="28"/>
        </w:rPr>
        <w:t xml:space="preserve"> ejer</w:t>
      </w:r>
      <w:r w:rsidRPr="00030313">
        <w:rPr>
          <w:rFonts w:ascii="Times New Roman" w:hAnsi="Times New Roman"/>
          <w:bCs/>
          <w:iCs/>
          <w:spacing w:val="5"/>
          <w:sz w:val="28"/>
        </w:rPr>
        <w:t>cicio de la personalidad</w:t>
      </w:r>
      <w:r w:rsidRPr="00030313">
        <w:rPr>
          <w:rFonts w:ascii="Times New Roman" w:hAnsi="Times New Roman"/>
          <w:bCs/>
          <w:iCs/>
          <w:spacing w:val="5"/>
          <w:sz w:val="28"/>
        </w:rPr>
        <w:t>.</w:t>
      </w:r>
      <w:r w:rsidRPr="00030313">
        <w:rPr>
          <w:rFonts w:ascii="Times New Roman" w:hAnsi="Times New Roman"/>
          <w:bCs/>
          <w:iCs/>
          <w:spacing w:val="5"/>
          <w:sz w:val="28"/>
        </w:rPr>
        <w:t xml:space="preserve"> </w:t>
      </w:r>
    </w:p>
    <w:p w:rsidR="000C1F1A" w:rsidRPr="00030313" w:rsidRDefault="00030313" w:rsidP="00C61937">
      <w:pPr>
        <w:ind w:right="51"/>
        <w:jc w:val="both"/>
        <w:rPr>
          <w:rFonts w:ascii="Times New Roman" w:hAnsi="Times New Roman"/>
          <w:bCs/>
          <w:iCs/>
          <w:spacing w:val="5"/>
          <w:sz w:val="28"/>
        </w:rPr>
      </w:pPr>
    </w:p>
    <w:p w:rsidR="002B0EF4" w:rsidRPr="00030313" w:rsidRDefault="00030313" w:rsidP="00C61937">
      <w:pPr>
        <w:ind w:right="51"/>
        <w:jc w:val="both"/>
        <w:rPr>
          <w:rFonts w:ascii="Times New Roman" w:hAnsi="Times New Roman"/>
          <w:bCs/>
          <w:iCs/>
          <w:spacing w:val="5"/>
          <w:sz w:val="28"/>
        </w:rPr>
      </w:pPr>
    </w:p>
    <w:p w:rsidR="00C36B4C" w:rsidRPr="00030313" w:rsidRDefault="00030313" w:rsidP="00C61937">
      <w:pPr>
        <w:pStyle w:val="Ttulo2"/>
        <w:numPr>
          <w:ilvl w:val="1"/>
          <w:numId w:val="9"/>
        </w:numPr>
        <w:rPr>
          <w:rFonts w:ascii="Times New Roman" w:hAnsi="Times New Roman"/>
          <w:sz w:val="28"/>
        </w:rPr>
      </w:pPr>
      <w:bookmarkStart w:id="15" w:name="_Toc183628565"/>
      <w:r w:rsidRPr="00030313">
        <w:rPr>
          <w:rFonts w:ascii="Times New Roman" w:hAnsi="Times New Roman"/>
          <w:sz w:val="28"/>
        </w:rPr>
        <w:t xml:space="preserve">La personalidad jurídica </w:t>
      </w:r>
      <w:r w:rsidRPr="00030313">
        <w:rPr>
          <w:rFonts w:ascii="Times New Roman" w:hAnsi="Times New Roman"/>
          <w:sz w:val="28"/>
        </w:rPr>
        <w:t xml:space="preserve">y la </w:t>
      </w:r>
      <w:r w:rsidRPr="00030313">
        <w:rPr>
          <w:rFonts w:ascii="Times New Roman" w:hAnsi="Times New Roman"/>
          <w:sz w:val="28"/>
        </w:rPr>
        <w:t>cédula de ciudadanía digital</w:t>
      </w:r>
      <w:bookmarkEnd w:id="15"/>
    </w:p>
    <w:p w:rsidR="00C36B4C" w:rsidRPr="00030313" w:rsidRDefault="00030313" w:rsidP="00C61937">
      <w:pPr>
        <w:ind w:left="709" w:right="51" w:hanging="1"/>
        <w:jc w:val="both"/>
        <w:rPr>
          <w:rFonts w:ascii="Times New Roman" w:hAnsi="Times New Roman"/>
          <w:b/>
          <w:i/>
          <w:spacing w:val="5"/>
          <w:sz w:val="28"/>
        </w:rPr>
      </w:pPr>
    </w:p>
    <w:p w:rsidR="00C36B4C" w:rsidRPr="00030313" w:rsidRDefault="00030313" w:rsidP="00C61937">
      <w:pPr>
        <w:numPr>
          <w:ilvl w:val="0"/>
          <w:numId w:val="6"/>
        </w:numPr>
        <w:ind w:left="0" w:right="51" w:firstLine="0"/>
        <w:jc w:val="both"/>
        <w:rPr>
          <w:rFonts w:ascii="Times New Roman" w:hAnsi="Times New Roman"/>
          <w:b/>
          <w:iCs/>
          <w:spacing w:val="5"/>
          <w:sz w:val="28"/>
        </w:rPr>
      </w:pPr>
      <w:r w:rsidRPr="00030313">
        <w:rPr>
          <w:rFonts w:ascii="Times New Roman" w:hAnsi="Times New Roman"/>
          <w:color w:val="000000"/>
          <w:sz w:val="28"/>
          <w:shd w:val="clear" w:color="auto" w:fill="FFFFFF"/>
        </w:rPr>
        <w:t xml:space="preserve">De conformidad con lo dispuesto en el artículo </w:t>
      </w:r>
      <w:r w:rsidRPr="00030313">
        <w:rPr>
          <w:rFonts w:ascii="Times New Roman" w:hAnsi="Times New Roman"/>
          <w:color w:val="000000"/>
          <w:sz w:val="28"/>
          <w:shd w:val="clear" w:color="auto" w:fill="FFFFFF"/>
        </w:rPr>
        <w:t xml:space="preserve">14 de la Constitución Política, </w:t>
      </w:r>
      <w:r w:rsidRPr="00030313">
        <w:rPr>
          <w:rFonts w:ascii="Times New Roman" w:hAnsi="Times New Roman"/>
          <w:color w:val="000000"/>
          <w:sz w:val="28"/>
          <w:shd w:val="clear" w:color="auto" w:fill="FFFFFF"/>
        </w:rPr>
        <w:t>el artículo 16 del</w:t>
      </w:r>
      <w:r w:rsidRPr="00030313">
        <w:rPr>
          <w:rFonts w:ascii="Times New Roman" w:hAnsi="Times New Roman"/>
          <w:color w:val="000000"/>
          <w:sz w:val="28"/>
          <w:shd w:val="clear" w:color="auto" w:fill="FFFFFF"/>
        </w:rPr>
        <w:t xml:space="preserve"> Pacto Internacional de Derechos Civiles y Políticos</w:t>
      </w:r>
      <w:r w:rsidRPr="00030313">
        <w:rPr>
          <w:rStyle w:val="Refdenotaalpie"/>
          <w:rFonts w:ascii="Times New Roman" w:hAnsi="Times New Roman"/>
          <w:color w:val="000000"/>
          <w:sz w:val="28"/>
          <w:shd w:val="clear" w:color="auto" w:fill="FFFFFF"/>
        </w:rPr>
        <w:footnoteReference w:id="76"/>
      </w:r>
      <w:r w:rsidRPr="00030313">
        <w:rPr>
          <w:rFonts w:ascii="Times New Roman" w:hAnsi="Times New Roman"/>
          <w:color w:val="000000"/>
          <w:sz w:val="28"/>
          <w:shd w:val="clear" w:color="auto" w:fill="FFFFFF"/>
        </w:rPr>
        <w:t xml:space="preserve"> y el artículo </w:t>
      </w:r>
      <w:r w:rsidRPr="00030313">
        <w:rPr>
          <w:rFonts w:ascii="Times New Roman" w:hAnsi="Times New Roman"/>
          <w:color w:val="000000"/>
          <w:sz w:val="28"/>
          <w:shd w:val="clear" w:color="auto" w:fill="FFFFFF"/>
        </w:rPr>
        <w:t>3</w:t>
      </w:r>
      <w:r w:rsidRPr="00030313">
        <w:rPr>
          <w:rFonts w:ascii="Times New Roman" w:hAnsi="Times New Roman"/>
          <w:color w:val="000000"/>
          <w:sz w:val="28"/>
          <w:shd w:val="clear" w:color="auto" w:fill="FFFFFF"/>
        </w:rPr>
        <w:t xml:space="preserve"> de la Convención Americana de Derechos Humanos</w:t>
      </w:r>
      <w:r w:rsidRPr="00030313">
        <w:rPr>
          <w:rStyle w:val="Refdenotaalpie"/>
          <w:rFonts w:ascii="Times New Roman" w:hAnsi="Times New Roman"/>
          <w:color w:val="000000"/>
          <w:sz w:val="28"/>
          <w:shd w:val="clear" w:color="auto" w:fill="FFFFFF"/>
        </w:rPr>
        <w:footnoteReference w:id="77"/>
      </w:r>
      <w:r w:rsidRPr="00030313">
        <w:rPr>
          <w:rFonts w:ascii="Times New Roman" w:hAnsi="Times New Roman"/>
          <w:color w:val="000000"/>
          <w:sz w:val="28"/>
          <w:shd w:val="clear" w:color="auto" w:fill="FFFFFF"/>
        </w:rPr>
        <w:t xml:space="preserve"> </w:t>
      </w:r>
      <w:r w:rsidRPr="00030313">
        <w:rPr>
          <w:rFonts w:ascii="Times New Roman" w:hAnsi="Times New Roman"/>
          <w:color w:val="000000"/>
          <w:sz w:val="28"/>
          <w:shd w:val="clear" w:color="auto" w:fill="FFFFFF"/>
        </w:rPr>
        <w:t xml:space="preserve">toda persona tiene derecho al reconocimiento de su personalidad jurídica. </w:t>
      </w:r>
      <w:r w:rsidRPr="00030313">
        <w:rPr>
          <w:rFonts w:ascii="Times New Roman" w:hAnsi="Times New Roman"/>
          <w:color w:val="000000"/>
          <w:sz w:val="28"/>
          <w:shd w:val="clear" w:color="auto" w:fill="FFFFFF"/>
        </w:rPr>
        <w:t xml:space="preserve">La jurisprudencia constitucional ha dejado claro que </w:t>
      </w:r>
      <w:r w:rsidRPr="00030313">
        <w:rPr>
          <w:rFonts w:ascii="Times New Roman" w:hAnsi="Times New Roman"/>
          <w:color w:val="000000"/>
          <w:sz w:val="28"/>
          <w:shd w:val="clear" w:color="auto" w:fill="FFFFFF"/>
        </w:rPr>
        <w:t>el derecho a la personalidad jurídica es un derecho fundamental esencial para la</w:t>
      </w:r>
      <w:r w:rsidRPr="00030313">
        <w:rPr>
          <w:rFonts w:ascii="Times New Roman" w:hAnsi="Times New Roman"/>
          <w:color w:val="000000"/>
          <w:sz w:val="28"/>
          <w:shd w:val="clear" w:color="auto" w:fill="FFFFFF"/>
        </w:rPr>
        <w:t xml:space="preserve"> consagración y efectividad del sistema de derechos y garantías contemplado en la Constitución</w:t>
      </w:r>
      <w:r w:rsidRPr="00030313">
        <w:rPr>
          <w:rFonts w:ascii="Times New Roman" w:hAnsi="Times New Roman"/>
          <w:color w:val="000000"/>
          <w:sz w:val="28"/>
          <w:shd w:val="clear" w:color="auto" w:fill="FFFFFF"/>
        </w:rPr>
        <w:t>, por lo cual su materia</w:t>
      </w:r>
      <w:r w:rsidRPr="00030313">
        <w:rPr>
          <w:rFonts w:ascii="Times New Roman" w:hAnsi="Times New Roman"/>
          <w:color w:val="000000"/>
          <w:sz w:val="28"/>
          <w:shd w:val="clear" w:color="auto" w:fill="FFFFFF"/>
        </w:rPr>
        <w:t>li</w:t>
      </w:r>
      <w:r w:rsidRPr="00030313">
        <w:rPr>
          <w:rFonts w:ascii="Times New Roman" w:hAnsi="Times New Roman"/>
          <w:color w:val="000000"/>
          <w:sz w:val="28"/>
          <w:shd w:val="clear" w:color="auto" w:fill="FFFFFF"/>
        </w:rPr>
        <w:t>dad</w:t>
      </w:r>
      <w:r w:rsidRPr="00030313">
        <w:rPr>
          <w:rFonts w:ascii="Times New Roman" w:hAnsi="Times New Roman"/>
          <w:color w:val="000000"/>
          <w:sz w:val="28"/>
          <w:shd w:val="clear" w:color="auto" w:fill="FFFFFF"/>
        </w:rPr>
        <w:t xml:space="preserve"> conlleva a los atributos propios de la persona humana, y es propio de los sujetos de derechos en el ordenamiento jurídico constitucional</w:t>
      </w:r>
      <w:r w:rsidRPr="00030313">
        <w:rPr>
          <w:rStyle w:val="Refdenotaalpie"/>
          <w:rFonts w:ascii="Times New Roman" w:hAnsi="Times New Roman"/>
          <w:color w:val="000000"/>
          <w:sz w:val="28"/>
          <w:shd w:val="clear" w:color="auto" w:fill="FFFFFF"/>
        </w:rPr>
        <w:footnoteReference w:id="78"/>
      </w:r>
      <w:r w:rsidRPr="00030313">
        <w:rPr>
          <w:rFonts w:ascii="Times New Roman" w:hAnsi="Times New Roman"/>
          <w:color w:val="000000"/>
          <w:sz w:val="28"/>
          <w:shd w:val="clear" w:color="auto" w:fill="FFFFFF"/>
        </w:rPr>
        <w:t>.</w:t>
      </w:r>
      <w:r w:rsidRPr="00030313">
        <w:rPr>
          <w:rFonts w:ascii="Times New Roman" w:hAnsi="Times New Roman"/>
          <w:color w:val="000000"/>
          <w:sz w:val="28"/>
          <w:shd w:val="clear" w:color="auto" w:fill="FFFFFF"/>
        </w:rPr>
        <w:t xml:space="preserve"> </w:t>
      </w:r>
      <w:r w:rsidRPr="00030313">
        <w:rPr>
          <w:rFonts w:ascii="Times New Roman" w:hAnsi="Times New Roman"/>
          <w:color w:val="000000"/>
          <w:sz w:val="28"/>
          <w:shd w:val="clear" w:color="auto" w:fill="FFFFFF"/>
        </w:rPr>
        <w:t xml:space="preserve">En nuestro ordenamiento jurídico, </w:t>
      </w:r>
      <w:r w:rsidRPr="00030313">
        <w:rPr>
          <w:rFonts w:ascii="Times New Roman" w:hAnsi="Times New Roman"/>
          <w:color w:val="000000"/>
          <w:sz w:val="28"/>
          <w:shd w:val="clear" w:color="auto" w:fill="FFFFFF"/>
        </w:rPr>
        <w:t>el Decreto 1260 de 1970 regula el estado civil de las personas</w:t>
      </w:r>
      <w:r w:rsidRPr="00030313">
        <w:rPr>
          <w:rFonts w:ascii="Times New Roman" w:hAnsi="Times New Roman"/>
          <w:color w:val="000000"/>
          <w:sz w:val="28"/>
          <w:shd w:val="clear" w:color="auto" w:fill="FFFFFF"/>
        </w:rPr>
        <w:t xml:space="preserve"> </w:t>
      </w:r>
      <w:r w:rsidRPr="00030313">
        <w:rPr>
          <w:rFonts w:ascii="Times New Roman" w:hAnsi="Times New Roman"/>
          <w:color w:val="000000"/>
          <w:sz w:val="28"/>
          <w:shd w:val="clear" w:color="auto" w:fill="FFFFFF"/>
        </w:rPr>
        <w:t xml:space="preserve">y el Decreto </w:t>
      </w:r>
      <w:r w:rsidRPr="00030313">
        <w:rPr>
          <w:rFonts w:ascii="Times New Roman" w:hAnsi="Times New Roman"/>
          <w:color w:val="000000"/>
          <w:sz w:val="28"/>
          <w:shd w:val="clear" w:color="auto" w:fill="FFFFFF"/>
        </w:rPr>
        <w:t>1227 d</w:t>
      </w:r>
      <w:r w:rsidRPr="00030313">
        <w:rPr>
          <w:rFonts w:ascii="Times New Roman" w:hAnsi="Times New Roman"/>
          <w:color w:val="000000"/>
          <w:sz w:val="28"/>
          <w:shd w:val="clear" w:color="auto" w:fill="FFFFFF"/>
        </w:rPr>
        <w:t xml:space="preserve">e 2015 regula lo relativo a la corrección del componente sexo en el registro del estado civil. </w:t>
      </w:r>
      <w:r w:rsidRPr="00030313">
        <w:rPr>
          <w:rFonts w:ascii="Times New Roman" w:hAnsi="Times New Roman"/>
          <w:color w:val="000000"/>
          <w:sz w:val="28"/>
          <w:shd w:val="clear" w:color="auto" w:fill="FFFFFF"/>
        </w:rPr>
        <w:t xml:space="preserve">Concretamente, el artículo 2.2.6.12.4.6 </w:t>
      </w:r>
      <w:r w:rsidRPr="00030313">
        <w:rPr>
          <w:rFonts w:ascii="Times New Roman" w:hAnsi="Times New Roman"/>
          <w:color w:val="000000"/>
          <w:sz w:val="28"/>
          <w:shd w:val="clear" w:color="auto" w:fill="FFFFFF"/>
        </w:rPr>
        <w:t>del Decreto 1227 de 2015 establece que “</w:t>
      </w:r>
      <w:r w:rsidRPr="00030313">
        <w:rPr>
          <w:rFonts w:ascii="Times New Roman" w:hAnsi="Times New Roman"/>
          <w:i/>
          <w:iCs/>
          <w:color w:val="000000"/>
          <w:sz w:val="28"/>
          <w:shd w:val="clear" w:color="auto" w:fill="FFFFFF"/>
        </w:rPr>
        <w:t>[l]a persona que haya ajustado el componente sexo en el Registro Civil de Nacimie</w:t>
      </w:r>
      <w:r w:rsidRPr="00030313">
        <w:rPr>
          <w:rFonts w:ascii="Times New Roman" w:hAnsi="Times New Roman"/>
          <w:i/>
          <w:iCs/>
          <w:color w:val="000000"/>
          <w:sz w:val="28"/>
          <w:shd w:val="clear" w:color="auto" w:fill="FFFFFF"/>
        </w:rPr>
        <w:t xml:space="preserve">nto no podrá solicitar una corrección dentro de los </w:t>
      </w:r>
      <w:r w:rsidRPr="00030313">
        <w:rPr>
          <w:rFonts w:ascii="Times New Roman" w:hAnsi="Times New Roman"/>
          <w:i/>
          <w:iCs/>
          <w:color w:val="000000"/>
          <w:sz w:val="28"/>
          <w:shd w:val="clear" w:color="auto" w:fill="FFFFFF"/>
        </w:rPr>
        <w:t>diez (10) años siguientes a la expedición de la Escritura Pública por parte del Notario. Solo podrá corregirse el componente sexo en dos ocasiones.”</w:t>
      </w:r>
      <w:r w:rsidRPr="00030313">
        <w:rPr>
          <w:rFonts w:ascii="Times New Roman" w:hAnsi="Times New Roman"/>
          <w:color w:val="000000"/>
          <w:sz w:val="28"/>
          <w:shd w:val="clear" w:color="auto" w:fill="FFFFFF"/>
        </w:rPr>
        <w:t xml:space="preserve"> </w:t>
      </w:r>
      <w:r w:rsidRPr="00030313">
        <w:rPr>
          <w:rFonts w:ascii="Times New Roman" w:hAnsi="Times New Roman"/>
          <w:color w:val="000000"/>
          <w:sz w:val="28"/>
          <w:shd w:val="clear" w:color="auto" w:fill="FFFFFF"/>
        </w:rPr>
        <w:t>A su vez, el</w:t>
      </w:r>
      <w:r w:rsidRPr="00030313">
        <w:rPr>
          <w:rFonts w:ascii="Times New Roman" w:hAnsi="Times New Roman"/>
          <w:color w:val="000000"/>
          <w:sz w:val="28"/>
          <w:shd w:val="clear" w:color="auto" w:fill="FFFFFF"/>
        </w:rPr>
        <w:t xml:space="preserve"> artículo </w:t>
      </w:r>
      <w:r w:rsidRPr="00030313">
        <w:rPr>
          <w:rFonts w:ascii="Times New Roman" w:hAnsi="Times New Roman"/>
          <w:color w:val="000000"/>
          <w:sz w:val="28"/>
          <w:shd w:val="clear" w:color="auto" w:fill="FFFFFF"/>
        </w:rPr>
        <w:t xml:space="preserve">2.2.6.12.4.7 del mismo estatuto </w:t>
      </w:r>
      <w:r w:rsidRPr="00030313">
        <w:rPr>
          <w:rFonts w:ascii="Times New Roman" w:hAnsi="Times New Roman"/>
          <w:color w:val="000000"/>
          <w:sz w:val="28"/>
          <w:shd w:val="clear" w:color="auto" w:fill="FFFFFF"/>
        </w:rPr>
        <w:t>regula las reglas que proceden para las correcciones relativas al componente sexo dentro del registro civil de nacimiento</w:t>
      </w:r>
      <w:r w:rsidRPr="00030313">
        <w:rPr>
          <w:rStyle w:val="Refdenotaalpie"/>
          <w:rFonts w:ascii="Times New Roman" w:hAnsi="Times New Roman"/>
          <w:color w:val="000000"/>
          <w:sz w:val="28"/>
          <w:shd w:val="clear" w:color="auto" w:fill="FFFFFF"/>
        </w:rPr>
        <w:footnoteReference w:id="79"/>
      </w:r>
      <w:r w:rsidRPr="00030313">
        <w:rPr>
          <w:rFonts w:ascii="Times New Roman" w:hAnsi="Times New Roman"/>
          <w:color w:val="000000"/>
          <w:sz w:val="28"/>
          <w:shd w:val="clear" w:color="auto" w:fill="FFFFFF"/>
        </w:rPr>
        <w:t>,</w:t>
      </w:r>
      <w:r w:rsidRPr="00030313">
        <w:rPr>
          <w:rFonts w:ascii="Times New Roman" w:hAnsi="Times New Roman"/>
          <w:color w:val="000000"/>
          <w:sz w:val="28"/>
          <w:shd w:val="clear" w:color="auto" w:fill="FFFFFF"/>
        </w:rPr>
        <w:t xml:space="preserve"> en el marco de un proceso administrativo. </w:t>
      </w:r>
    </w:p>
    <w:p w:rsidR="001F5C09" w:rsidRPr="00030313" w:rsidRDefault="00030313" w:rsidP="00C61937">
      <w:pPr>
        <w:ind w:right="51"/>
        <w:jc w:val="both"/>
        <w:rPr>
          <w:rFonts w:ascii="Times New Roman" w:hAnsi="Times New Roman"/>
          <w:b/>
          <w:iCs/>
          <w:spacing w:val="5"/>
          <w:sz w:val="28"/>
        </w:rPr>
      </w:pPr>
    </w:p>
    <w:p w:rsidR="001300CB" w:rsidRPr="00030313" w:rsidRDefault="00030313" w:rsidP="00C61937">
      <w:pPr>
        <w:numPr>
          <w:ilvl w:val="0"/>
          <w:numId w:val="6"/>
        </w:numPr>
        <w:ind w:left="0" w:right="51" w:firstLine="0"/>
        <w:jc w:val="both"/>
        <w:rPr>
          <w:rFonts w:ascii="Times New Roman" w:hAnsi="Times New Roman"/>
          <w:b/>
          <w:iCs/>
          <w:spacing w:val="5"/>
          <w:sz w:val="28"/>
        </w:rPr>
      </w:pPr>
      <w:r w:rsidRPr="00030313">
        <w:rPr>
          <w:rFonts w:ascii="Times New Roman" w:hAnsi="Times New Roman"/>
          <w:color w:val="000000"/>
          <w:sz w:val="28"/>
          <w:shd w:val="clear" w:color="auto" w:fill="FFFFFF"/>
        </w:rPr>
        <w:t xml:space="preserve">Con relación al derecho a la personalidad jurídica y su relación con el registro civil y la cédula de ciudadanía, </w:t>
      </w:r>
      <w:r w:rsidRPr="00030313">
        <w:rPr>
          <w:rFonts w:ascii="Times New Roman" w:hAnsi="Times New Roman"/>
          <w:color w:val="000000"/>
          <w:sz w:val="28"/>
          <w:shd w:val="clear" w:color="auto" w:fill="FFFFFF"/>
        </w:rPr>
        <w:t xml:space="preserve">esta Corporación ha advertido que el registro civil </w:t>
      </w:r>
      <w:r w:rsidRPr="00030313">
        <w:rPr>
          <w:rFonts w:ascii="Times New Roman" w:hAnsi="Times New Roman"/>
          <w:color w:val="000000"/>
          <w:sz w:val="28"/>
          <w:shd w:val="clear" w:color="auto" w:fill="FFFFFF"/>
        </w:rPr>
        <w:t xml:space="preserve">es un instrumento fundamental para concretar y permitir el ejercicio efectivo del derecho </w:t>
      </w:r>
      <w:r w:rsidRPr="00030313">
        <w:rPr>
          <w:rFonts w:ascii="Times New Roman" w:hAnsi="Times New Roman"/>
          <w:color w:val="000000"/>
          <w:sz w:val="28"/>
          <w:shd w:val="clear" w:color="auto" w:fill="FFFFFF"/>
        </w:rPr>
        <w:t>a la personalidad jurídica y el estado civil</w:t>
      </w:r>
      <w:r w:rsidRPr="00030313">
        <w:rPr>
          <w:rFonts w:ascii="Times New Roman" w:hAnsi="Times New Roman"/>
          <w:color w:val="000000"/>
          <w:sz w:val="28"/>
          <w:shd w:val="clear" w:color="auto" w:fill="FFFFFF"/>
        </w:rPr>
        <w:t xml:space="preserve"> de las personas</w:t>
      </w:r>
      <w:r w:rsidRPr="00030313">
        <w:rPr>
          <w:rStyle w:val="Refdenotaalpie"/>
          <w:rFonts w:ascii="Times New Roman" w:hAnsi="Times New Roman"/>
          <w:color w:val="000000"/>
          <w:sz w:val="28"/>
          <w:shd w:val="clear" w:color="auto" w:fill="FFFFFF"/>
        </w:rPr>
        <w:footnoteReference w:id="80"/>
      </w:r>
      <w:r w:rsidRPr="00030313">
        <w:rPr>
          <w:rFonts w:ascii="Times New Roman" w:hAnsi="Times New Roman"/>
          <w:color w:val="000000"/>
          <w:sz w:val="28"/>
          <w:shd w:val="clear" w:color="auto" w:fill="FFFFFF"/>
        </w:rPr>
        <w:t>.</w:t>
      </w:r>
      <w:r w:rsidRPr="00030313">
        <w:rPr>
          <w:rFonts w:ascii="Times New Roman" w:hAnsi="Times New Roman"/>
          <w:i/>
          <w:iCs/>
          <w:color w:val="000000"/>
          <w:sz w:val="28"/>
          <w:shd w:val="clear" w:color="auto" w:fill="FFFFFF"/>
        </w:rPr>
        <w:t xml:space="preserve"> </w:t>
      </w:r>
      <w:r w:rsidRPr="00030313">
        <w:rPr>
          <w:rFonts w:ascii="Times New Roman" w:hAnsi="Times New Roman"/>
          <w:color w:val="000000"/>
          <w:sz w:val="28"/>
          <w:shd w:val="clear" w:color="auto" w:fill="FFFFFF"/>
        </w:rPr>
        <w:t>Por intermedio del registro civil “</w:t>
      </w:r>
      <w:r w:rsidRPr="00030313">
        <w:rPr>
          <w:rFonts w:ascii="Times New Roman" w:hAnsi="Times New Roman"/>
          <w:i/>
          <w:iCs/>
          <w:color w:val="000000"/>
          <w:sz w:val="28"/>
          <w:shd w:val="clear" w:color="auto" w:fill="FFFFFF"/>
        </w:rPr>
        <w:t xml:space="preserve">constan todos </w:t>
      </w:r>
      <w:r w:rsidRPr="00030313">
        <w:rPr>
          <w:rFonts w:ascii="Times New Roman" w:hAnsi="Times New Roman"/>
          <w:i/>
          <w:iCs/>
          <w:color w:val="000000"/>
          <w:sz w:val="28"/>
          <w:shd w:val="clear" w:color="auto" w:fill="FFFFFF"/>
        </w:rPr>
        <w:t>los hechos y actos relativos al estado civil y a la capacidad de las personas”</w:t>
      </w:r>
      <w:r w:rsidRPr="00030313">
        <w:rPr>
          <w:rStyle w:val="Refdenotaalpie"/>
          <w:rFonts w:ascii="Times New Roman" w:hAnsi="Times New Roman"/>
          <w:color w:val="000000"/>
          <w:sz w:val="28"/>
          <w:shd w:val="clear" w:color="auto" w:fill="FFFFFF"/>
        </w:rPr>
        <w:footnoteReference w:id="81"/>
      </w:r>
      <w:r w:rsidRPr="00030313">
        <w:rPr>
          <w:rFonts w:ascii="Times New Roman" w:hAnsi="Times New Roman"/>
          <w:color w:val="000000"/>
          <w:sz w:val="28"/>
          <w:shd w:val="clear" w:color="auto" w:fill="FFFFFF"/>
        </w:rPr>
        <w:t>.</w:t>
      </w:r>
      <w:r w:rsidRPr="00030313">
        <w:rPr>
          <w:rFonts w:ascii="Times New Roman" w:hAnsi="Times New Roman"/>
          <w:color w:val="000000"/>
          <w:sz w:val="28"/>
          <w:shd w:val="clear" w:color="auto" w:fill="FFFFFF"/>
        </w:rPr>
        <w:t xml:space="preserve"> </w:t>
      </w:r>
      <w:r w:rsidRPr="00030313">
        <w:rPr>
          <w:rFonts w:ascii="Times New Roman" w:hAnsi="Times New Roman"/>
          <w:color w:val="000000"/>
          <w:sz w:val="28"/>
          <w:shd w:val="clear" w:color="auto" w:fill="FFFFFF"/>
        </w:rPr>
        <w:t xml:space="preserve">A través de la Sentencia C-109 de 1995, la Corte Constitucional indicó que </w:t>
      </w:r>
      <w:r w:rsidRPr="00030313">
        <w:rPr>
          <w:rFonts w:ascii="Times New Roman" w:hAnsi="Times New Roman"/>
          <w:color w:val="000000"/>
          <w:sz w:val="28"/>
          <w:shd w:val="clear" w:color="auto" w:fill="FFFFFF"/>
        </w:rPr>
        <w:t>la personalidad jurídica no solo implica la capacidad de ingresar al tráfico jurídico, ser titular de derechos y contraer obligaciones, “</w:t>
      </w:r>
      <w:r w:rsidRPr="00030313">
        <w:rPr>
          <w:rFonts w:ascii="Times New Roman" w:hAnsi="Times New Roman"/>
          <w:i/>
          <w:iCs/>
          <w:color w:val="000000"/>
          <w:sz w:val="28"/>
          <w:shd w:val="clear" w:color="auto" w:fill="FFFFFF"/>
        </w:rPr>
        <w:t xml:space="preserve">sino que comprende, además, la posibilidad de que todo ser humano posea, </w:t>
      </w:r>
      <w:r w:rsidRPr="00030313">
        <w:rPr>
          <w:rFonts w:ascii="Times New Roman" w:hAnsi="Times New Roman"/>
          <w:i/>
          <w:iCs/>
          <w:color w:val="000000"/>
          <w:sz w:val="28"/>
          <w:shd w:val="clear" w:color="auto" w:fill="FFFFFF"/>
        </w:rPr>
        <w:t>por el simple hecho de existir e independientemente de su condición, determinados atributos que constituyen la esencia de su personalidad jurídica e individualidad como sujeto de dere</w:t>
      </w:r>
      <w:r w:rsidRPr="00030313">
        <w:rPr>
          <w:rFonts w:ascii="Times New Roman" w:hAnsi="Times New Roman"/>
          <w:i/>
          <w:iCs/>
          <w:color w:val="000000"/>
          <w:sz w:val="28"/>
          <w:shd w:val="clear" w:color="auto" w:fill="FFFFFF"/>
        </w:rPr>
        <w:t>cho. Son los llamados atributos de la personalidad”</w:t>
      </w:r>
      <w:r w:rsidRPr="00030313">
        <w:rPr>
          <w:rStyle w:val="Refdenotaalpie"/>
          <w:rFonts w:ascii="Times New Roman" w:hAnsi="Times New Roman"/>
          <w:i/>
          <w:iCs/>
          <w:color w:val="000000"/>
          <w:sz w:val="28"/>
          <w:shd w:val="clear" w:color="auto" w:fill="FFFFFF"/>
        </w:rPr>
        <w:footnoteReference w:id="82"/>
      </w:r>
      <w:r w:rsidRPr="00030313">
        <w:rPr>
          <w:rFonts w:ascii="Times New Roman" w:hAnsi="Times New Roman"/>
          <w:i/>
          <w:iCs/>
          <w:color w:val="000000"/>
          <w:sz w:val="28"/>
          <w:shd w:val="clear" w:color="auto" w:fill="FFFFFF"/>
        </w:rPr>
        <w:t>.</w:t>
      </w:r>
      <w:r w:rsidRPr="00030313">
        <w:rPr>
          <w:rFonts w:ascii="Times New Roman" w:hAnsi="Times New Roman"/>
          <w:i/>
          <w:iCs/>
          <w:color w:val="000000"/>
          <w:sz w:val="28"/>
          <w:shd w:val="clear" w:color="auto" w:fill="FFFFFF"/>
        </w:rPr>
        <w:t xml:space="preserve"> </w:t>
      </w:r>
    </w:p>
    <w:p w:rsidR="001300CB" w:rsidRPr="00030313" w:rsidRDefault="00030313" w:rsidP="00C61937">
      <w:pPr>
        <w:pStyle w:val="Prrafodelista"/>
        <w:rPr>
          <w:rFonts w:ascii="Times New Roman" w:hAnsi="Times New Roman"/>
          <w:color w:val="000000"/>
          <w:sz w:val="28"/>
          <w:shd w:val="clear" w:color="auto" w:fill="FFFFFF"/>
        </w:rPr>
      </w:pPr>
    </w:p>
    <w:p w:rsidR="001F5C09" w:rsidRPr="00030313" w:rsidRDefault="00030313" w:rsidP="00C61937">
      <w:pPr>
        <w:numPr>
          <w:ilvl w:val="0"/>
          <w:numId w:val="6"/>
        </w:numPr>
        <w:ind w:left="0" w:right="51" w:firstLine="0"/>
        <w:jc w:val="both"/>
        <w:rPr>
          <w:rFonts w:ascii="Times New Roman" w:hAnsi="Times New Roman"/>
          <w:b/>
          <w:iCs/>
          <w:spacing w:val="5"/>
          <w:sz w:val="28"/>
        </w:rPr>
      </w:pPr>
      <w:r w:rsidRPr="00030313">
        <w:rPr>
          <w:rFonts w:ascii="Times New Roman" w:hAnsi="Times New Roman"/>
          <w:color w:val="000000"/>
          <w:sz w:val="28"/>
          <w:shd w:val="clear" w:color="auto" w:fill="FFFFFF"/>
        </w:rPr>
        <w:t xml:space="preserve">De otro lado, la cédula de ciudadanía se refiere al documento </w:t>
      </w:r>
      <w:r w:rsidRPr="00030313">
        <w:rPr>
          <w:rFonts w:ascii="Times New Roman" w:hAnsi="Times New Roman"/>
          <w:color w:val="000000"/>
          <w:sz w:val="28"/>
          <w:shd w:val="clear" w:color="auto" w:fill="FFFFFF"/>
        </w:rPr>
        <w:t>de identificación de los ciudadanos mayores de 18 años. La Corte ha expresado que, a través de éste “</w:t>
      </w:r>
      <w:r w:rsidRPr="00030313">
        <w:rPr>
          <w:rFonts w:ascii="Times New Roman" w:hAnsi="Times New Roman"/>
          <w:i/>
          <w:iCs/>
          <w:color w:val="000000"/>
          <w:sz w:val="28"/>
          <w:shd w:val="clear" w:color="auto" w:fill="FFFFFF"/>
        </w:rPr>
        <w:t>s</w:t>
      </w:r>
      <w:r w:rsidRPr="00030313">
        <w:rPr>
          <w:rFonts w:ascii="Times New Roman" w:hAnsi="Times New Roman"/>
          <w:i/>
          <w:iCs/>
          <w:color w:val="000000"/>
          <w:sz w:val="28"/>
          <w:shd w:val="clear" w:color="auto" w:fill="FFFFFF"/>
        </w:rPr>
        <w:t>e acredita la personalidad de su tit</w:t>
      </w:r>
      <w:r w:rsidRPr="00030313">
        <w:rPr>
          <w:rFonts w:ascii="Times New Roman" w:hAnsi="Times New Roman"/>
          <w:i/>
          <w:iCs/>
          <w:color w:val="000000"/>
          <w:sz w:val="28"/>
          <w:shd w:val="clear" w:color="auto" w:fill="FFFFFF"/>
        </w:rPr>
        <w:t>ular en todos los actos jurídicos o situaciones donde se le exige la prueba de tal calidad”</w:t>
      </w:r>
      <w:r w:rsidRPr="00030313">
        <w:rPr>
          <w:rStyle w:val="Refdenotaalpie"/>
          <w:rFonts w:ascii="Times New Roman" w:hAnsi="Times New Roman"/>
          <w:i/>
          <w:iCs/>
          <w:color w:val="000000"/>
          <w:sz w:val="28"/>
          <w:shd w:val="clear" w:color="auto" w:fill="FFFFFF"/>
        </w:rPr>
        <w:footnoteReference w:id="83"/>
      </w:r>
      <w:r w:rsidRPr="00030313">
        <w:rPr>
          <w:rFonts w:ascii="Times New Roman" w:hAnsi="Times New Roman"/>
          <w:i/>
          <w:iCs/>
          <w:color w:val="000000"/>
          <w:sz w:val="28"/>
          <w:shd w:val="clear" w:color="auto" w:fill="FFFFFF"/>
        </w:rPr>
        <w:t>.</w:t>
      </w:r>
      <w:r w:rsidRPr="00030313">
        <w:rPr>
          <w:rFonts w:ascii="Times New Roman" w:hAnsi="Times New Roman"/>
          <w:i/>
          <w:iCs/>
          <w:color w:val="000000"/>
          <w:sz w:val="28"/>
          <w:shd w:val="clear" w:color="auto" w:fill="FFFFFF"/>
        </w:rPr>
        <w:t xml:space="preserve"> </w:t>
      </w:r>
      <w:r w:rsidRPr="00030313">
        <w:rPr>
          <w:rFonts w:ascii="Times New Roman" w:hAnsi="Times New Roman"/>
          <w:color w:val="000000"/>
          <w:sz w:val="28"/>
          <w:shd w:val="clear" w:color="auto" w:fill="FFFFFF"/>
        </w:rPr>
        <w:t xml:space="preserve">Asimismo, la jurisprudencia </w:t>
      </w:r>
      <w:r w:rsidRPr="00030313">
        <w:rPr>
          <w:rFonts w:ascii="Times New Roman" w:hAnsi="Times New Roman"/>
          <w:color w:val="000000"/>
          <w:sz w:val="28"/>
          <w:shd w:val="clear" w:color="auto" w:fill="FFFFFF"/>
        </w:rPr>
        <w:t xml:space="preserve">indicó que la Constitución y la ley asignan a la cédula de ciudadanía tres funciones </w:t>
      </w:r>
      <w:r w:rsidRPr="00030313">
        <w:rPr>
          <w:rFonts w:ascii="Times New Roman" w:hAnsi="Times New Roman"/>
          <w:color w:val="000000"/>
          <w:sz w:val="28"/>
          <w:shd w:val="clear" w:color="auto" w:fill="FFFFFF"/>
        </w:rPr>
        <w:t xml:space="preserve">concretas: </w:t>
      </w:r>
      <w:r w:rsidRPr="00030313">
        <w:rPr>
          <w:rFonts w:ascii="Times New Roman" w:hAnsi="Times New Roman"/>
          <w:i/>
          <w:iCs/>
          <w:color w:val="000000"/>
          <w:sz w:val="28"/>
          <w:shd w:val="clear" w:color="auto" w:fill="FFFFFF"/>
        </w:rPr>
        <w:t xml:space="preserve">(i) </w:t>
      </w:r>
      <w:r w:rsidRPr="00030313">
        <w:rPr>
          <w:rFonts w:ascii="Times New Roman" w:hAnsi="Times New Roman"/>
          <w:color w:val="000000"/>
          <w:sz w:val="28"/>
          <w:shd w:val="clear" w:color="auto" w:fill="FFFFFF"/>
        </w:rPr>
        <w:t xml:space="preserve">identificar a las personas; </w:t>
      </w:r>
      <w:r w:rsidRPr="00030313">
        <w:rPr>
          <w:rFonts w:ascii="Times New Roman" w:hAnsi="Times New Roman"/>
          <w:i/>
          <w:iCs/>
          <w:color w:val="000000"/>
          <w:sz w:val="28"/>
          <w:shd w:val="clear" w:color="auto" w:fill="FFFFFF"/>
        </w:rPr>
        <w:t xml:space="preserve">(ii) </w:t>
      </w:r>
      <w:r w:rsidRPr="00030313">
        <w:rPr>
          <w:rFonts w:ascii="Times New Roman" w:hAnsi="Times New Roman"/>
          <w:color w:val="000000"/>
          <w:sz w:val="28"/>
          <w:shd w:val="clear" w:color="auto" w:fill="FFFFFF"/>
        </w:rPr>
        <w:t xml:space="preserve">permitir el ejercicio de sus derechos civiles; y </w:t>
      </w:r>
      <w:r w:rsidRPr="00030313">
        <w:rPr>
          <w:rFonts w:ascii="Times New Roman" w:hAnsi="Times New Roman"/>
          <w:i/>
          <w:iCs/>
          <w:color w:val="000000"/>
          <w:sz w:val="28"/>
          <w:shd w:val="clear" w:color="auto" w:fill="FFFFFF"/>
        </w:rPr>
        <w:t xml:space="preserve">(iii) </w:t>
      </w:r>
      <w:r w:rsidRPr="00030313">
        <w:rPr>
          <w:rFonts w:ascii="Times New Roman" w:hAnsi="Times New Roman"/>
          <w:color w:val="000000"/>
          <w:sz w:val="28"/>
          <w:shd w:val="clear" w:color="auto" w:fill="FFFFFF"/>
        </w:rPr>
        <w:t>asegurar la participación de los ciudadanos en la actividad política que propicie y estimule la democracia</w:t>
      </w:r>
      <w:r w:rsidRPr="00030313">
        <w:rPr>
          <w:rStyle w:val="Refdenotaalpie"/>
          <w:rFonts w:ascii="Times New Roman" w:hAnsi="Times New Roman"/>
          <w:color w:val="000000"/>
          <w:sz w:val="28"/>
          <w:shd w:val="clear" w:color="auto" w:fill="FFFFFF"/>
        </w:rPr>
        <w:footnoteReference w:id="84"/>
      </w:r>
      <w:r w:rsidRPr="00030313">
        <w:rPr>
          <w:rFonts w:ascii="Times New Roman" w:hAnsi="Times New Roman"/>
          <w:color w:val="000000"/>
          <w:sz w:val="28"/>
          <w:shd w:val="clear" w:color="auto" w:fill="FFFFFF"/>
        </w:rPr>
        <w:t>.</w:t>
      </w:r>
      <w:r w:rsidRPr="00030313">
        <w:rPr>
          <w:rFonts w:ascii="Times New Roman" w:hAnsi="Times New Roman"/>
          <w:color w:val="000000"/>
          <w:sz w:val="28"/>
          <w:shd w:val="clear" w:color="auto" w:fill="FFFFFF"/>
        </w:rPr>
        <w:t xml:space="preserve"> </w:t>
      </w:r>
      <w:r w:rsidRPr="00030313">
        <w:rPr>
          <w:rFonts w:ascii="Times New Roman" w:hAnsi="Times New Roman"/>
          <w:color w:val="000000"/>
          <w:sz w:val="28"/>
          <w:shd w:val="clear" w:color="auto" w:fill="FFFFFF"/>
        </w:rPr>
        <w:t xml:space="preserve">La cedulación constituye, a su vez, un servicio público que debe prestarse con particular </w:t>
      </w:r>
      <w:r w:rsidRPr="00030313">
        <w:rPr>
          <w:rFonts w:ascii="Times New Roman" w:hAnsi="Times New Roman"/>
          <w:color w:val="000000"/>
          <w:sz w:val="28"/>
          <w:shd w:val="clear" w:color="auto" w:fill="FFFFFF"/>
        </w:rPr>
        <w:t>interés, pues no se trata solo de la expedición de un documento público, sino que se trata de la concreción, para el ciudadano, de sus posibilidades de acceso a los derechos civiles y políticos reconocidos por el ordenamiento jurídico</w:t>
      </w:r>
      <w:r w:rsidRPr="00030313">
        <w:rPr>
          <w:rStyle w:val="Refdenotaalpie"/>
          <w:rFonts w:ascii="Times New Roman" w:hAnsi="Times New Roman"/>
          <w:color w:val="000000"/>
          <w:sz w:val="28"/>
          <w:shd w:val="clear" w:color="auto" w:fill="FFFFFF"/>
        </w:rPr>
        <w:footnoteReference w:id="85"/>
      </w:r>
      <w:r w:rsidRPr="00030313">
        <w:rPr>
          <w:rFonts w:ascii="Times New Roman" w:hAnsi="Times New Roman"/>
          <w:color w:val="000000"/>
          <w:sz w:val="28"/>
          <w:shd w:val="clear" w:color="auto" w:fill="FFFFFF"/>
        </w:rPr>
        <w:t>.</w:t>
      </w:r>
    </w:p>
    <w:p w:rsidR="00B40E6D" w:rsidRPr="00030313" w:rsidRDefault="00030313" w:rsidP="00C61937">
      <w:pPr>
        <w:ind w:right="51"/>
        <w:jc w:val="both"/>
        <w:rPr>
          <w:rFonts w:ascii="Times New Roman" w:hAnsi="Times New Roman"/>
          <w:b/>
          <w:iCs/>
          <w:spacing w:val="5"/>
          <w:sz w:val="28"/>
        </w:rPr>
      </w:pPr>
    </w:p>
    <w:p w:rsidR="00C36B4C" w:rsidRPr="00030313" w:rsidRDefault="00030313" w:rsidP="00C61937">
      <w:pPr>
        <w:numPr>
          <w:ilvl w:val="0"/>
          <w:numId w:val="6"/>
        </w:numPr>
        <w:ind w:left="0" w:right="51" w:firstLine="0"/>
        <w:jc w:val="both"/>
        <w:rPr>
          <w:rFonts w:ascii="Times New Roman" w:hAnsi="Times New Roman"/>
          <w:b/>
          <w:iCs/>
          <w:spacing w:val="5"/>
          <w:sz w:val="28"/>
        </w:rPr>
      </w:pPr>
      <w:r w:rsidRPr="00030313">
        <w:rPr>
          <w:rFonts w:ascii="Times New Roman" w:hAnsi="Times New Roman"/>
          <w:color w:val="000000"/>
          <w:sz w:val="28"/>
          <w:shd w:val="clear" w:color="auto" w:fill="FFFFFF"/>
        </w:rPr>
        <w:t xml:space="preserve">Es </w:t>
      </w:r>
      <w:r w:rsidRPr="00030313">
        <w:rPr>
          <w:rFonts w:ascii="Times New Roman" w:hAnsi="Times New Roman"/>
          <w:color w:val="000000"/>
          <w:sz w:val="28"/>
          <w:shd w:val="clear" w:color="auto" w:fill="FFFFFF"/>
        </w:rPr>
        <w:t>importante resa</w:t>
      </w:r>
      <w:r w:rsidRPr="00030313">
        <w:rPr>
          <w:rFonts w:ascii="Times New Roman" w:hAnsi="Times New Roman"/>
          <w:color w:val="000000"/>
          <w:sz w:val="28"/>
          <w:shd w:val="clear" w:color="auto" w:fill="FFFFFF"/>
        </w:rPr>
        <w:t xml:space="preserve">ltar que el registro civil y </w:t>
      </w:r>
      <w:r w:rsidRPr="00030313">
        <w:rPr>
          <w:rFonts w:ascii="Times New Roman" w:hAnsi="Times New Roman"/>
          <w:color w:val="000000"/>
          <w:sz w:val="28"/>
          <w:shd w:val="clear" w:color="auto" w:fill="FFFFFF"/>
        </w:rPr>
        <w:t xml:space="preserve">la </w:t>
      </w:r>
      <w:r w:rsidRPr="00030313">
        <w:rPr>
          <w:rFonts w:ascii="Times New Roman" w:hAnsi="Times New Roman"/>
          <w:color w:val="000000"/>
          <w:sz w:val="28"/>
          <w:shd w:val="clear" w:color="auto" w:fill="FFFFFF"/>
        </w:rPr>
        <w:t xml:space="preserve">cédula de ciudadanía son fundamentales para el ejercicio efectivo de los derechos </w:t>
      </w:r>
      <w:r w:rsidRPr="00030313">
        <w:rPr>
          <w:rFonts w:ascii="Times New Roman" w:hAnsi="Times New Roman"/>
          <w:color w:val="000000"/>
          <w:sz w:val="28"/>
          <w:shd w:val="clear" w:color="auto" w:fill="FFFFFF"/>
        </w:rPr>
        <w:t>de los cuales es titular una persona nacida en territorio colombiano, así como sus posibilidades para contraer obligaciones, suscribir actos j</w:t>
      </w:r>
      <w:r w:rsidRPr="00030313">
        <w:rPr>
          <w:rFonts w:ascii="Times New Roman" w:hAnsi="Times New Roman"/>
          <w:color w:val="000000"/>
          <w:sz w:val="28"/>
          <w:shd w:val="clear" w:color="auto" w:fill="FFFFFF"/>
        </w:rPr>
        <w:t xml:space="preserve">urídicos y acceder a la oferta de bienes y servicios del Estado. </w:t>
      </w:r>
      <w:r w:rsidRPr="00030313">
        <w:rPr>
          <w:rFonts w:ascii="Times New Roman" w:hAnsi="Times New Roman"/>
          <w:color w:val="000000"/>
          <w:sz w:val="28"/>
          <w:shd w:val="clear" w:color="auto" w:fill="FFFFFF"/>
        </w:rPr>
        <w:t xml:space="preserve">Sin perjuicio de lo expuesto, </w:t>
      </w:r>
      <w:r w:rsidRPr="00030313">
        <w:rPr>
          <w:rFonts w:ascii="Times New Roman" w:hAnsi="Times New Roman"/>
          <w:color w:val="000000"/>
          <w:sz w:val="28"/>
          <w:shd w:val="clear" w:color="auto" w:fill="FFFFFF"/>
        </w:rPr>
        <w:t>la importancia d</w:t>
      </w:r>
      <w:r w:rsidRPr="00030313">
        <w:rPr>
          <w:rFonts w:ascii="Times New Roman" w:hAnsi="Times New Roman"/>
          <w:color w:val="000000"/>
          <w:sz w:val="28"/>
          <w:shd w:val="clear" w:color="auto" w:fill="FFFFFF"/>
        </w:rPr>
        <w:t xml:space="preserve">el registro civil y cédula de ciudadanía no se </w:t>
      </w:r>
      <w:r w:rsidRPr="00030313">
        <w:rPr>
          <w:rFonts w:ascii="Times New Roman" w:hAnsi="Times New Roman"/>
          <w:color w:val="000000"/>
          <w:sz w:val="28"/>
          <w:shd w:val="clear" w:color="auto" w:fill="FFFFFF"/>
        </w:rPr>
        <w:t>agot</w:t>
      </w:r>
      <w:r w:rsidRPr="00030313">
        <w:rPr>
          <w:rFonts w:ascii="Times New Roman" w:hAnsi="Times New Roman"/>
          <w:color w:val="000000"/>
          <w:sz w:val="28"/>
          <w:shd w:val="clear" w:color="auto" w:fill="FFFFFF"/>
        </w:rPr>
        <w:t>a</w:t>
      </w:r>
      <w:r w:rsidRPr="00030313">
        <w:rPr>
          <w:rFonts w:ascii="Times New Roman" w:hAnsi="Times New Roman"/>
          <w:color w:val="000000"/>
          <w:sz w:val="28"/>
          <w:shd w:val="clear" w:color="auto" w:fill="FFFFFF"/>
        </w:rPr>
        <w:t>n</w:t>
      </w:r>
      <w:r w:rsidRPr="00030313">
        <w:rPr>
          <w:rFonts w:ascii="Times New Roman" w:hAnsi="Times New Roman"/>
          <w:color w:val="000000"/>
          <w:sz w:val="28"/>
          <w:shd w:val="clear" w:color="auto" w:fill="FFFFFF"/>
        </w:rPr>
        <w:t xml:space="preserve"> </w:t>
      </w:r>
      <w:r w:rsidRPr="00030313">
        <w:rPr>
          <w:rFonts w:ascii="Times New Roman" w:hAnsi="Times New Roman"/>
          <w:color w:val="000000"/>
          <w:sz w:val="28"/>
          <w:shd w:val="clear" w:color="auto" w:fill="FFFFFF"/>
        </w:rPr>
        <w:t>en</w:t>
      </w:r>
      <w:r w:rsidRPr="00030313">
        <w:rPr>
          <w:rFonts w:ascii="Times New Roman" w:hAnsi="Times New Roman"/>
          <w:color w:val="000000"/>
          <w:sz w:val="28"/>
          <w:shd w:val="clear" w:color="auto" w:fill="FFFFFF"/>
        </w:rPr>
        <w:t xml:space="preserve"> servir como documento</w:t>
      </w:r>
      <w:r w:rsidRPr="00030313">
        <w:rPr>
          <w:rFonts w:ascii="Times New Roman" w:hAnsi="Times New Roman"/>
          <w:color w:val="000000"/>
          <w:sz w:val="28"/>
          <w:shd w:val="clear" w:color="auto" w:fill="FFFFFF"/>
        </w:rPr>
        <w:t>s</w:t>
      </w:r>
      <w:r w:rsidRPr="00030313">
        <w:rPr>
          <w:rFonts w:ascii="Times New Roman" w:hAnsi="Times New Roman"/>
          <w:color w:val="000000"/>
          <w:sz w:val="28"/>
          <w:shd w:val="clear" w:color="auto" w:fill="FFFFFF"/>
        </w:rPr>
        <w:t xml:space="preserve"> de identificación que habilita</w:t>
      </w:r>
      <w:r w:rsidRPr="00030313">
        <w:rPr>
          <w:rFonts w:ascii="Times New Roman" w:hAnsi="Times New Roman"/>
          <w:color w:val="000000"/>
          <w:sz w:val="28"/>
          <w:shd w:val="clear" w:color="auto" w:fill="FFFFFF"/>
        </w:rPr>
        <w:t>n</w:t>
      </w:r>
      <w:r w:rsidRPr="00030313">
        <w:rPr>
          <w:rFonts w:ascii="Times New Roman" w:hAnsi="Times New Roman"/>
          <w:color w:val="000000"/>
          <w:sz w:val="28"/>
          <w:shd w:val="clear" w:color="auto" w:fill="FFFFFF"/>
        </w:rPr>
        <w:t xml:space="preserve"> a los ciudadanos a ejercer sus derechos civiles y políticos, </w:t>
      </w:r>
      <w:r w:rsidRPr="00030313">
        <w:rPr>
          <w:rFonts w:ascii="Times New Roman" w:hAnsi="Times New Roman"/>
          <w:color w:val="000000"/>
          <w:sz w:val="28"/>
          <w:shd w:val="clear" w:color="auto" w:fill="FFFFFF"/>
        </w:rPr>
        <w:t>sino</w:t>
      </w:r>
      <w:r w:rsidRPr="00030313">
        <w:rPr>
          <w:rFonts w:ascii="Times New Roman" w:hAnsi="Times New Roman"/>
          <w:color w:val="000000"/>
          <w:sz w:val="28"/>
          <w:shd w:val="clear" w:color="auto" w:fill="FFFFFF"/>
        </w:rPr>
        <w:t xml:space="preserve"> que</w:t>
      </w:r>
      <w:r w:rsidRPr="00030313">
        <w:rPr>
          <w:rFonts w:ascii="Times New Roman" w:hAnsi="Times New Roman"/>
          <w:color w:val="000000"/>
          <w:sz w:val="28"/>
          <w:shd w:val="clear" w:color="auto" w:fill="FFFFFF"/>
        </w:rPr>
        <w:t xml:space="preserve">, tal como se manifestó en la primera parte considerativa de esta </w:t>
      </w:r>
      <w:r w:rsidRPr="00030313">
        <w:rPr>
          <w:rFonts w:ascii="Times New Roman" w:hAnsi="Times New Roman"/>
          <w:color w:val="000000"/>
          <w:sz w:val="28"/>
          <w:shd w:val="clear" w:color="auto" w:fill="FFFFFF"/>
        </w:rPr>
        <w:t>providencia</w:t>
      </w:r>
      <w:r w:rsidRPr="00030313">
        <w:rPr>
          <w:rFonts w:ascii="Times New Roman" w:hAnsi="Times New Roman"/>
          <w:color w:val="000000"/>
          <w:sz w:val="28"/>
          <w:shd w:val="clear" w:color="auto" w:fill="FFFFFF"/>
        </w:rPr>
        <w:t xml:space="preserve">, </w:t>
      </w:r>
      <w:r w:rsidRPr="00030313">
        <w:rPr>
          <w:rFonts w:ascii="Times New Roman" w:hAnsi="Times New Roman"/>
          <w:color w:val="000000"/>
          <w:sz w:val="28"/>
          <w:shd w:val="clear" w:color="auto" w:fill="FFFFFF"/>
        </w:rPr>
        <w:t>los documentos de identidad son, por excelencia, una manifestación del ejercicio de</w:t>
      </w:r>
      <w:r w:rsidRPr="00030313">
        <w:rPr>
          <w:rFonts w:ascii="Times New Roman" w:hAnsi="Times New Roman"/>
          <w:color w:val="000000"/>
          <w:sz w:val="28"/>
          <w:shd w:val="clear" w:color="auto" w:fill="FFFFFF"/>
        </w:rPr>
        <w:t>l derecho al</w:t>
      </w:r>
      <w:r w:rsidRPr="00030313">
        <w:rPr>
          <w:rFonts w:ascii="Times New Roman" w:hAnsi="Times New Roman"/>
          <w:color w:val="000000"/>
          <w:sz w:val="28"/>
          <w:shd w:val="clear" w:color="auto" w:fill="FFFFFF"/>
        </w:rPr>
        <w:t xml:space="preserve"> libre desar</w:t>
      </w:r>
      <w:r w:rsidRPr="00030313">
        <w:rPr>
          <w:rFonts w:ascii="Times New Roman" w:hAnsi="Times New Roman"/>
          <w:color w:val="000000"/>
          <w:sz w:val="28"/>
          <w:shd w:val="clear" w:color="auto" w:fill="FFFFFF"/>
        </w:rPr>
        <w:t>rollo de la personalidad de un</w:t>
      </w:r>
      <w:r w:rsidRPr="00030313">
        <w:rPr>
          <w:rFonts w:ascii="Times New Roman" w:hAnsi="Times New Roman"/>
          <w:color w:val="000000"/>
          <w:sz w:val="28"/>
          <w:shd w:val="clear" w:color="auto" w:fill="FFFFFF"/>
        </w:rPr>
        <w:t xml:space="preserve"> ciudadano</w:t>
      </w:r>
      <w:r w:rsidRPr="00030313">
        <w:rPr>
          <w:rFonts w:ascii="Times New Roman" w:hAnsi="Times New Roman"/>
          <w:color w:val="000000"/>
          <w:sz w:val="28"/>
          <w:shd w:val="clear" w:color="auto" w:fill="FFFFFF"/>
        </w:rPr>
        <w:t xml:space="preserve">. En ese sentido, </w:t>
      </w:r>
      <w:r w:rsidRPr="00030313">
        <w:rPr>
          <w:rFonts w:ascii="Times New Roman" w:hAnsi="Times New Roman"/>
          <w:color w:val="000000"/>
          <w:sz w:val="28"/>
          <w:shd w:val="clear" w:color="auto" w:fill="FFFFFF"/>
        </w:rPr>
        <w:t xml:space="preserve">el registro civil de nacimiento y la cédula de ciudadanía no se limitan a tener una relevancia desde la esfera pública, sino que también son de especial relevancia </w:t>
      </w:r>
      <w:r w:rsidRPr="00030313">
        <w:rPr>
          <w:rFonts w:ascii="Times New Roman" w:hAnsi="Times New Roman"/>
          <w:color w:val="000000"/>
          <w:sz w:val="28"/>
          <w:shd w:val="clear" w:color="auto" w:fill="FFFFFF"/>
        </w:rPr>
        <w:t xml:space="preserve">desde </w:t>
      </w:r>
      <w:r w:rsidRPr="00030313">
        <w:rPr>
          <w:rFonts w:ascii="Times New Roman" w:hAnsi="Times New Roman"/>
          <w:color w:val="000000"/>
          <w:sz w:val="28"/>
          <w:shd w:val="clear" w:color="auto" w:fill="FFFFFF"/>
        </w:rPr>
        <w:t xml:space="preserve">una aproximación a </w:t>
      </w:r>
      <w:r w:rsidRPr="00030313">
        <w:rPr>
          <w:rFonts w:ascii="Times New Roman" w:hAnsi="Times New Roman"/>
          <w:color w:val="000000"/>
          <w:sz w:val="28"/>
          <w:shd w:val="clear" w:color="auto" w:fill="FFFFFF"/>
        </w:rPr>
        <w:t>la esfera</w:t>
      </w:r>
      <w:r w:rsidRPr="00030313">
        <w:rPr>
          <w:rFonts w:ascii="Times New Roman" w:hAnsi="Times New Roman"/>
          <w:color w:val="000000"/>
          <w:sz w:val="28"/>
          <w:shd w:val="clear" w:color="auto" w:fill="FFFFFF"/>
        </w:rPr>
        <w:t xml:space="preserve"> privada, pues</w:t>
      </w:r>
      <w:r w:rsidRPr="00030313">
        <w:rPr>
          <w:rFonts w:ascii="Times New Roman" w:hAnsi="Times New Roman"/>
          <w:color w:val="000000"/>
          <w:sz w:val="28"/>
          <w:shd w:val="clear" w:color="auto" w:fill="FFFFFF"/>
        </w:rPr>
        <w:t>,</w:t>
      </w:r>
      <w:r w:rsidRPr="00030313">
        <w:rPr>
          <w:rFonts w:ascii="Times New Roman" w:hAnsi="Times New Roman"/>
          <w:color w:val="000000"/>
          <w:sz w:val="28"/>
          <w:shd w:val="clear" w:color="auto" w:fill="FFFFFF"/>
        </w:rPr>
        <w:t xml:space="preserve"> quien </w:t>
      </w:r>
      <w:r w:rsidRPr="00030313">
        <w:rPr>
          <w:rFonts w:ascii="Times New Roman" w:hAnsi="Times New Roman"/>
          <w:color w:val="000000"/>
          <w:sz w:val="28"/>
          <w:shd w:val="clear" w:color="auto" w:fill="FFFFFF"/>
        </w:rPr>
        <w:t>desea que a través de estos documentos se exprese</w:t>
      </w:r>
      <w:r w:rsidRPr="00030313">
        <w:rPr>
          <w:rFonts w:ascii="Times New Roman" w:hAnsi="Times New Roman"/>
          <w:color w:val="000000"/>
          <w:sz w:val="28"/>
          <w:shd w:val="clear" w:color="auto" w:fill="FFFFFF"/>
        </w:rPr>
        <w:t xml:space="preserve">n atributos </w:t>
      </w:r>
      <w:r w:rsidRPr="00030313">
        <w:rPr>
          <w:rFonts w:ascii="Times New Roman" w:hAnsi="Times New Roman"/>
          <w:color w:val="000000"/>
          <w:sz w:val="28"/>
          <w:shd w:val="clear" w:color="auto" w:fill="FFFFFF"/>
        </w:rPr>
        <w:t>de</w:t>
      </w:r>
      <w:r w:rsidRPr="00030313">
        <w:rPr>
          <w:rFonts w:ascii="Times New Roman" w:hAnsi="Times New Roman"/>
          <w:color w:val="000000"/>
          <w:sz w:val="28"/>
          <w:shd w:val="clear" w:color="auto" w:fill="FFFFFF"/>
        </w:rPr>
        <w:t xml:space="preserve"> su identidad de género, en conexidad con el derecho </w:t>
      </w:r>
      <w:r w:rsidRPr="00030313">
        <w:rPr>
          <w:rFonts w:ascii="Times New Roman" w:hAnsi="Times New Roman"/>
          <w:color w:val="000000"/>
          <w:sz w:val="28"/>
          <w:shd w:val="clear" w:color="auto" w:fill="FFFFFF"/>
        </w:rPr>
        <w:t>su</w:t>
      </w:r>
      <w:r w:rsidRPr="00030313">
        <w:rPr>
          <w:rFonts w:ascii="Times New Roman" w:hAnsi="Times New Roman"/>
          <w:color w:val="000000"/>
          <w:sz w:val="28"/>
          <w:shd w:val="clear" w:color="auto" w:fill="FFFFFF"/>
        </w:rPr>
        <w:t xml:space="preserve"> libre desarrollo de la personalidad</w:t>
      </w:r>
      <w:r w:rsidRPr="00030313">
        <w:rPr>
          <w:rFonts w:ascii="Times New Roman" w:hAnsi="Times New Roman"/>
          <w:color w:val="000000"/>
          <w:sz w:val="28"/>
          <w:shd w:val="clear" w:color="auto" w:fill="FFFFFF"/>
        </w:rPr>
        <w:t xml:space="preserve"> e igualdad</w:t>
      </w:r>
      <w:r w:rsidRPr="00030313">
        <w:rPr>
          <w:rFonts w:ascii="Times New Roman" w:hAnsi="Times New Roman"/>
          <w:color w:val="000000"/>
          <w:sz w:val="28"/>
          <w:shd w:val="clear" w:color="auto" w:fill="FFFFFF"/>
        </w:rPr>
        <w:t xml:space="preserve">, </w:t>
      </w:r>
      <w:r w:rsidRPr="00030313">
        <w:rPr>
          <w:rFonts w:ascii="Times New Roman" w:hAnsi="Times New Roman"/>
          <w:color w:val="000000"/>
          <w:sz w:val="28"/>
          <w:shd w:val="clear" w:color="auto" w:fill="FFFFFF"/>
        </w:rPr>
        <w:t xml:space="preserve">está en la libertad de hacerlo. Lo expuesto, en consideración a que </w:t>
      </w:r>
      <w:r w:rsidRPr="00030313">
        <w:rPr>
          <w:rFonts w:ascii="Times New Roman" w:hAnsi="Times New Roman"/>
          <w:color w:val="000000"/>
          <w:sz w:val="28"/>
          <w:shd w:val="clear" w:color="auto" w:fill="FFFFFF"/>
        </w:rPr>
        <w:t xml:space="preserve">es por medio de estos documentos que las personas se identifican </w:t>
      </w:r>
      <w:r w:rsidRPr="00030313">
        <w:rPr>
          <w:rFonts w:ascii="Times New Roman" w:hAnsi="Times New Roman"/>
          <w:color w:val="000000"/>
          <w:sz w:val="28"/>
          <w:shd w:val="clear" w:color="auto" w:fill="FFFFFF"/>
        </w:rPr>
        <w:t xml:space="preserve">e </w:t>
      </w:r>
      <w:r w:rsidRPr="00030313">
        <w:rPr>
          <w:rFonts w:ascii="Times New Roman" w:hAnsi="Times New Roman"/>
          <w:color w:val="000000"/>
          <w:sz w:val="28"/>
          <w:shd w:val="clear" w:color="auto" w:fill="FFFFFF"/>
        </w:rPr>
        <w:t>interactúan</w:t>
      </w:r>
      <w:r w:rsidRPr="00030313">
        <w:rPr>
          <w:rFonts w:ascii="Times New Roman" w:hAnsi="Times New Roman"/>
          <w:color w:val="000000"/>
          <w:sz w:val="28"/>
          <w:shd w:val="clear" w:color="auto" w:fill="FFFFFF"/>
        </w:rPr>
        <w:t xml:space="preserve"> de forma sistemática con el Estado</w:t>
      </w:r>
      <w:r w:rsidRPr="00030313">
        <w:rPr>
          <w:rFonts w:ascii="Times New Roman" w:hAnsi="Times New Roman"/>
          <w:color w:val="000000"/>
          <w:sz w:val="28"/>
          <w:shd w:val="clear" w:color="auto" w:fill="FFFFFF"/>
        </w:rPr>
        <w:t>, sus instituciones</w:t>
      </w:r>
      <w:r w:rsidRPr="00030313">
        <w:rPr>
          <w:rFonts w:ascii="Times New Roman" w:hAnsi="Times New Roman"/>
          <w:color w:val="000000"/>
          <w:sz w:val="28"/>
          <w:shd w:val="clear" w:color="auto" w:fill="FFFFFF"/>
        </w:rPr>
        <w:t xml:space="preserve"> y con sus conciudadanos. </w:t>
      </w:r>
    </w:p>
    <w:p w:rsidR="00E54C2F" w:rsidRPr="00030313" w:rsidRDefault="00030313" w:rsidP="00C61937">
      <w:pPr>
        <w:ind w:right="51"/>
        <w:jc w:val="both"/>
        <w:rPr>
          <w:rFonts w:ascii="Times New Roman" w:hAnsi="Times New Roman"/>
          <w:b/>
          <w:iCs/>
          <w:spacing w:val="5"/>
          <w:sz w:val="28"/>
        </w:rPr>
      </w:pPr>
    </w:p>
    <w:p w:rsidR="00F33CF6" w:rsidRPr="00030313" w:rsidRDefault="00030313" w:rsidP="00C61937">
      <w:pPr>
        <w:numPr>
          <w:ilvl w:val="0"/>
          <w:numId w:val="6"/>
        </w:numPr>
        <w:ind w:left="0" w:right="51" w:firstLine="0"/>
        <w:jc w:val="both"/>
        <w:rPr>
          <w:rFonts w:ascii="Times New Roman" w:hAnsi="Times New Roman"/>
          <w:b/>
          <w:iCs/>
          <w:spacing w:val="5"/>
          <w:sz w:val="28"/>
        </w:rPr>
      </w:pPr>
      <w:r w:rsidRPr="00030313">
        <w:rPr>
          <w:rFonts w:ascii="Times New Roman" w:hAnsi="Times New Roman"/>
          <w:bCs/>
          <w:iCs/>
          <w:spacing w:val="5"/>
          <w:sz w:val="28"/>
        </w:rPr>
        <w:t>Ahora bien,</w:t>
      </w:r>
      <w:r w:rsidRPr="00030313">
        <w:rPr>
          <w:rFonts w:ascii="Times New Roman" w:hAnsi="Times New Roman"/>
          <w:bCs/>
          <w:iCs/>
          <w:spacing w:val="5"/>
          <w:sz w:val="28"/>
        </w:rPr>
        <w:t xml:space="preserve"> conforme lo dispuesto en los artículos 120 y 266 de la Constitución Política, </w:t>
      </w:r>
      <w:r w:rsidRPr="00030313">
        <w:rPr>
          <w:rFonts w:ascii="Times New Roman" w:hAnsi="Times New Roman"/>
          <w:bCs/>
          <w:iCs/>
          <w:spacing w:val="5"/>
          <w:sz w:val="28"/>
        </w:rPr>
        <w:t>es competencia del Registrador Nacional del Estado Civil ejercer las funciones que establezca la ley, incluida la dirección y organización de las elecciones, el registro civil y</w:t>
      </w:r>
      <w:r w:rsidRPr="00030313">
        <w:rPr>
          <w:rFonts w:ascii="Times New Roman" w:hAnsi="Times New Roman"/>
          <w:bCs/>
          <w:iCs/>
          <w:spacing w:val="5"/>
          <w:sz w:val="28"/>
        </w:rPr>
        <w:t xml:space="preserve"> la identificación de las personas. </w:t>
      </w:r>
      <w:r w:rsidRPr="00030313">
        <w:rPr>
          <w:rFonts w:ascii="Times New Roman" w:hAnsi="Times New Roman"/>
          <w:bCs/>
          <w:iCs/>
          <w:spacing w:val="5"/>
          <w:sz w:val="28"/>
        </w:rPr>
        <w:t>B</w:t>
      </w:r>
      <w:r w:rsidRPr="00030313">
        <w:rPr>
          <w:rFonts w:ascii="Times New Roman" w:hAnsi="Times New Roman"/>
          <w:bCs/>
          <w:iCs/>
          <w:spacing w:val="5"/>
          <w:sz w:val="28"/>
        </w:rPr>
        <w:t xml:space="preserve">ajo la vigencia de la Constitución </w:t>
      </w:r>
      <w:r w:rsidRPr="00030313">
        <w:rPr>
          <w:rFonts w:ascii="Times New Roman" w:hAnsi="Times New Roman"/>
          <w:bCs/>
          <w:iCs/>
          <w:spacing w:val="5"/>
          <w:sz w:val="28"/>
        </w:rPr>
        <w:t>Política de 1991, el Congreso de la República expidió la Ley 38 de 1993</w:t>
      </w:r>
      <w:r w:rsidRPr="00030313">
        <w:rPr>
          <w:rFonts w:ascii="Times New Roman" w:hAnsi="Times New Roman"/>
          <w:bCs/>
          <w:iCs/>
          <w:spacing w:val="5"/>
          <w:sz w:val="28"/>
        </w:rPr>
        <w:t>, por medio de la cual, en el parágrafo del artículo 3 de la mencionada norma, dispuso que “</w:t>
      </w:r>
      <w:r w:rsidRPr="00030313">
        <w:rPr>
          <w:rFonts w:ascii="Times New Roman" w:hAnsi="Times New Roman"/>
          <w:bCs/>
          <w:i/>
          <w:spacing w:val="5"/>
          <w:sz w:val="28"/>
        </w:rPr>
        <w:t xml:space="preserve">[e]l </w:t>
      </w:r>
      <w:r w:rsidRPr="00030313">
        <w:rPr>
          <w:rFonts w:ascii="Times New Roman" w:hAnsi="Times New Roman"/>
          <w:bCs/>
          <w:i/>
          <w:spacing w:val="5"/>
          <w:sz w:val="28"/>
        </w:rPr>
        <w:t>Registrador Naci</w:t>
      </w:r>
      <w:r w:rsidRPr="00030313">
        <w:rPr>
          <w:rFonts w:ascii="Times New Roman" w:hAnsi="Times New Roman"/>
          <w:bCs/>
          <w:i/>
          <w:spacing w:val="5"/>
          <w:sz w:val="28"/>
        </w:rPr>
        <w:t>onal del Estado Civi</w:t>
      </w:r>
      <w:r w:rsidRPr="00030313">
        <w:rPr>
          <w:rFonts w:ascii="Times New Roman" w:hAnsi="Times New Roman"/>
          <w:bCs/>
          <w:i/>
          <w:spacing w:val="5"/>
          <w:sz w:val="28"/>
        </w:rPr>
        <w:t>l</w:t>
      </w:r>
      <w:r w:rsidRPr="00030313">
        <w:rPr>
          <w:rFonts w:ascii="Times New Roman" w:hAnsi="Times New Roman"/>
          <w:bCs/>
          <w:i/>
          <w:spacing w:val="5"/>
          <w:sz w:val="28"/>
        </w:rPr>
        <w:t xml:space="preserve">, podrá reglamentar </w:t>
      </w:r>
      <w:r w:rsidRPr="00030313">
        <w:rPr>
          <w:rFonts w:ascii="Times New Roman" w:hAnsi="Times New Roman"/>
          <w:bCs/>
          <w:i/>
          <w:spacing w:val="5"/>
          <w:sz w:val="28"/>
        </w:rPr>
        <w:t>lo relativo a los elementos básicos, forma y características del documento de identidad y definir el contenido del Registro Civil.”</w:t>
      </w:r>
      <w:r w:rsidRPr="00030313">
        <w:rPr>
          <w:rFonts w:ascii="Times New Roman" w:hAnsi="Times New Roman"/>
          <w:bCs/>
          <w:i/>
          <w:spacing w:val="5"/>
          <w:sz w:val="28"/>
        </w:rPr>
        <w:t xml:space="preserve"> </w:t>
      </w:r>
      <w:r w:rsidRPr="00030313">
        <w:rPr>
          <w:rFonts w:ascii="Times New Roman" w:hAnsi="Times New Roman"/>
          <w:bCs/>
          <w:iCs/>
          <w:spacing w:val="5"/>
          <w:sz w:val="28"/>
        </w:rPr>
        <w:t xml:space="preserve">Así, por virtud de lo expuesto, </w:t>
      </w:r>
      <w:r w:rsidRPr="00030313">
        <w:rPr>
          <w:rFonts w:ascii="Times New Roman" w:hAnsi="Times New Roman"/>
          <w:bCs/>
          <w:iCs/>
          <w:spacing w:val="5"/>
          <w:sz w:val="28"/>
        </w:rPr>
        <w:t xml:space="preserve">el Registrador Nacional del Estado Civil tiene la competencia para </w:t>
      </w:r>
      <w:r w:rsidRPr="00030313">
        <w:rPr>
          <w:rFonts w:ascii="Times New Roman" w:hAnsi="Times New Roman"/>
          <w:bCs/>
          <w:iCs/>
          <w:spacing w:val="5"/>
          <w:sz w:val="28"/>
        </w:rPr>
        <w:t xml:space="preserve">expedir la cédula de ciudadanía en </w:t>
      </w:r>
      <w:r w:rsidRPr="00030313">
        <w:rPr>
          <w:rFonts w:ascii="Times New Roman" w:hAnsi="Times New Roman"/>
          <w:bCs/>
          <w:iCs/>
          <w:spacing w:val="5"/>
          <w:sz w:val="28"/>
        </w:rPr>
        <w:t>la forma</w:t>
      </w:r>
      <w:r w:rsidRPr="00030313">
        <w:rPr>
          <w:rFonts w:ascii="Times New Roman" w:hAnsi="Times New Roman"/>
          <w:bCs/>
          <w:iCs/>
          <w:spacing w:val="5"/>
          <w:sz w:val="28"/>
        </w:rPr>
        <w:t>/formato</w:t>
      </w:r>
      <w:r w:rsidRPr="00030313">
        <w:rPr>
          <w:rFonts w:ascii="Times New Roman" w:hAnsi="Times New Roman"/>
          <w:bCs/>
          <w:iCs/>
          <w:spacing w:val="5"/>
          <w:sz w:val="28"/>
        </w:rPr>
        <w:t xml:space="preserve"> que considere pertinente</w:t>
      </w:r>
      <w:r w:rsidRPr="00030313">
        <w:rPr>
          <w:rFonts w:ascii="Times New Roman" w:hAnsi="Times New Roman"/>
          <w:bCs/>
          <w:iCs/>
          <w:spacing w:val="5"/>
          <w:sz w:val="28"/>
        </w:rPr>
        <w:t>, dada la facultad general que le fue atribuida por las normas de rango constitucional anotadas, así como por l</w:t>
      </w:r>
      <w:r w:rsidRPr="00030313">
        <w:rPr>
          <w:rFonts w:ascii="Times New Roman" w:hAnsi="Times New Roman"/>
          <w:bCs/>
          <w:iCs/>
          <w:spacing w:val="5"/>
          <w:sz w:val="28"/>
        </w:rPr>
        <w:t xml:space="preserve">o </w:t>
      </w:r>
      <w:r w:rsidRPr="00030313">
        <w:rPr>
          <w:rFonts w:ascii="Times New Roman" w:hAnsi="Times New Roman"/>
          <w:bCs/>
          <w:iCs/>
          <w:spacing w:val="5"/>
          <w:sz w:val="28"/>
        </w:rPr>
        <w:t xml:space="preserve">dispuesto en el parágrafo del artículo 3 de la Ley 38 de 1993. </w:t>
      </w:r>
    </w:p>
    <w:p w:rsidR="00DA39E5" w:rsidRPr="00030313" w:rsidRDefault="00030313" w:rsidP="00C61937">
      <w:pPr>
        <w:pStyle w:val="Prrafodelista"/>
        <w:rPr>
          <w:rFonts w:ascii="Times New Roman" w:hAnsi="Times New Roman"/>
          <w:b/>
          <w:iCs/>
          <w:spacing w:val="5"/>
          <w:sz w:val="28"/>
        </w:rPr>
      </w:pPr>
    </w:p>
    <w:p w:rsidR="00DA39E5" w:rsidRPr="00030313" w:rsidRDefault="00030313" w:rsidP="00C61937">
      <w:pPr>
        <w:numPr>
          <w:ilvl w:val="0"/>
          <w:numId w:val="6"/>
        </w:numPr>
        <w:ind w:left="0" w:right="51" w:firstLine="0"/>
        <w:jc w:val="both"/>
        <w:rPr>
          <w:rFonts w:ascii="Times New Roman" w:hAnsi="Times New Roman"/>
          <w:b/>
          <w:iCs/>
          <w:spacing w:val="5"/>
          <w:sz w:val="28"/>
        </w:rPr>
      </w:pPr>
      <w:r w:rsidRPr="00030313">
        <w:rPr>
          <w:rFonts w:ascii="Times New Roman" w:hAnsi="Times New Roman"/>
          <w:bCs/>
          <w:iCs/>
          <w:spacing w:val="5"/>
          <w:sz w:val="28"/>
        </w:rPr>
        <w:t xml:space="preserve">Aunado a lo expuesto, la Sala resalta que, mientras las normas que sirvan de fundamento para la expedición de la cédula de ciudadanía digital se mantengan vigentes, </w:t>
      </w:r>
      <w:r w:rsidRPr="00030313">
        <w:rPr>
          <w:rFonts w:ascii="Times New Roman" w:hAnsi="Times New Roman"/>
          <w:bCs/>
          <w:iCs/>
          <w:spacing w:val="5"/>
          <w:sz w:val="28"/>
        </w:rPr>
        <w:t>aquellas gozan de presunci</w:t>
      </w:r>
      <w:r w:rsidRPr="00030313">
        <w:rPr>
          <w:rFonts w:ascii="Times New Roman" w:hAnsi="Times New Roman"/>
          <w:bCs/>
          <w:iCs/>
          <w:spacing w:val="5"/>
          <w:sz w:val="28"/>
        </w:rPr>
        <w:t>ón de legalida</w:t>
      </w:r>
      <w:r w:rsidRPr="00030313">
        <w:rPr>
          <w:rFonts w:ascii="Times New Roman" w:hAnsi="Times New Roman"/>
          <w:bCs/>
          <w:iCs/>
          <w:spacing w:val="5"/>
          <w:sz w:val="28"/>
        </w:rPr>
        <w:t>d. En consecuencia, la</w:t>
      </w:r>
      <w:r w:rsidRPr="00030313">
        <w:rPr>
          <w:rFonts w:ascii="Times New Roman" w:hAnsi="Times New Roman"/>
          <w:bCs/>
          <w:iCs/>
          <w:spacing w:val="5"/>
          <w:sz w:val="28"/>
        </w:rPr>
        <w:t>s</w:t>
      </w:r>
      <w:r w:rsidRPr="00030313">
        <w:rPr>
          <w:rFonts w:ascii="Times New Roman" w:hAnsi="Times New Roman"/>
          <w:bCs/>
          <w:iCs/>
          <w:spacing w:val="5"/>
          <w:sz w:val="28"/>
        </w:rPr>
        <w:t xml:space="preserve"> </w:t>
      </w:r>
      <w:r w:rsidRPr="00030313">
        <w:rPr>
          <w:rFonts w:ascii="Times New Roman" w:hAnsi="Times New Roman"/>
          <w:bCs/>
          <w:iCs/>
          <w:spacing w:val="5"/>
          <w:sz w:val="28"/>
        </w:rPr>
        <w:t>cédulas de ciudadanía en formato digital</w:t>
      </w:r>
      <w:r w:rsidRPr="00030313">
        <w:rPr>
          <w:rFonts w:ascii="Times New Roman" w:hAnsi="Times New Roman"/>
          <w:bCs/>
          <w:iCs/>
          <w:spacing w:val="5"/>
          <w:sz w:val="28"/>
        </w:rPr>
        <w:t xml:space="preserve"> que sean expedidas,</w:t>
      </w:r>
      <w:r w:rsidRPr="00030313">
        <w:rPr>
          <w:rFonts w:ascii="Times New Roman" w:hAnsi="Times New Roman"/>
          <w:bCs/>
          <w:iCs/>
          <w:spacing w:val="5"/>
          <w:sz w:val="28"/>
        </w:rPr>
        <w:t xml:space="preserve"> deberán contener</w:t>
      </w:r>
      <w:r w:rsidRPr="00030313">
        <w:rPr>
          <w:rFonts w:ascii="Times New Roman" w:hAnsi="Times New Roman"/>
          <w:bCs/>
          <w:iCs/>
          <w:spacing w:val="5"/>
          <w:sz w:val="28"/>
        </w:rPr>
        <w:t xml:space="preserve"> la inclusión de marcación de género que ya fue reglada por esta Corporación mediante la Sentencia T-033 de 202</w:t>
      </w:r>
      <w:r w:rsidRPr="00030313">
        <w:rPr>
          <w:rFonts w:ascii="Times New Roman" w:hAnsi="Times New Roman"/>
          <w:bCs/>
          <w:iCs/>
          <w:spacing w:val="5"/>
          <w:sz w:val="28"/>
        </w:rPr>
        <w:t xml:space="preserve">2, al considerar que se trata de un documento de identidad mediante el cual las personas ven reflejados sus datos y sus atributos de identidad. </w:t>
      </w:r>
    </w:p>
    <w:p w:rsidR="009E4806" w:rsidRPr="00030313" w:rsidRDefault="00030313" w:rsidP="00C61937">
      <w:pPr>
        <w:ind w:right="51"/>
        <w:jc w:val="both"/>
        <w:rPr>
          <w:rFonts w:ascii="Times New Roman" w:hAnsi="Times New Roman"/>
          <w:b/>
          <w:iCs/>
          <w:spacing w:val="5"/>
          <w:sz w:val="28"/>
        </w:rPr>
      </w:pPr>
    </w:p>
    <w:p w:rsidR="009E4806" w:rsidRPr="00030313" w:rsidRDefault="00030313" w:rsidP="00C61937">
      <w:pPr>
        <w:numPr>
          <w:ilvl w:val="0"/>
          <w:numId w:val="6"/>
        </w:numPr>
        <w:ind w:left="0" w:right="51" w:firstLine="0"/>
        <w:jc w:val="both"/>
        <w:rPr>
          <w:rFonts w:ascii="Times New Roman" w:hAnsi="Times New Roman"/>
          <w:b/>
          <w:iCs/>
          <w:spacing w:val="5"/>
          <w:sz w:val="28"/>
        </w:rPr>
      </w:pPr>
      <w:r w:rsidRPr="00030313">
        <w:rPr>
          <w:rFonts w:ascii="Times New Roman" w:hAnsi="Times New Roman"/>
          <w:color w:val="000000"/>
          <w:sz w:val="28"/>
          <w:shd w:val="clear" w:color="auto" w:fill="FFFFFF"/>
        </w:rPr>
        <w:t>Con todo,</w:t>
      </w:r>
      <w:r w:rsidRPr="00030313">
        <w:rPr>
          <w:rFonts w:ascii="Times New Roman" w:hAnsi="Times New Roman"/>
          <w:color w:val="000000"/>
          <w:sz w:val="28"/>
          <w:shd w:val="clear" w:color="auto" w:fill="FFFFFF"/>
        </w:rPr>
        <w:t xml:space="preserve"> tal y como lo reflejan las respuestas de la Registraduría Nacional del Estado Civil a las preguntas </w:t>
      </w:r>
      <w:r w:rsidRPr="00030313">
        <w:rPr>
          <w:rFonts w:ascii="Times New Roman" w:hAnsi="Times New Roman"/>
          <w:color w:val="000000"/>
          <w:sz w:val="28"/>
          <w:shd w:val="clear" w:color="auto" w:fill="FFFFFF"/>
        </w:rPr>
        <w:t>formuladas por esta Corporación en sede de revisión,</w:t>
      </w:r>
      <w:r w:rsidRPr="00030313">
        <w:rPr>
          <w:rFonts w:ascii="Times New Roman" w:hAnsi="Times New Roman"/>
          <w:color w:val="000000"/>
          <w:sz w:val="28"/>
          <w:shd w:val="clear" w:color="auto" w:fill="FFFFFF"/>
        </w:rPr>
        <w:t xml:space="preserve"> actualmente, el ordenamiento jurídico no distingue </w:t>
      </w:r>
      <w:r w:rsidRPr="00030313">
        <w:rPr>
          <w:rFonts w:ascii="Times New Roman" w:hAnsi="Times New Roman"/>
          <w:color w:val="000000"/>
          <w:sz w:val="28"/>
          <w:shd w:val="clear" w:color="auto" w:fill="FFFFFF"/>
        </w:rPr>
        <w:t>diferencias materiales y prácticas entre la cédula de ciudadanía de hologramas amarilla y la cédula de ciudadanía digital para efectos del acceso real a</w:t>
      </w:r>
      <w:r w:rsidRPr="00030313">
        <w:rPr>
          <w:rFonts w:ascii="Times New Roman" w:hAnsi="Times New Roman"/>
          <w:color w:val="000000"/>
          <w:sz w:val="28"/>
          <w:shd w:val="clear" w:color="auto" w:fill="FFFFFF"/>
        </w:rPr>
        <w:t xml:space="preserve"> la prestación de servicios que tendría una persona que presentara una u otra para identificarse</w:t>
      </w:r>
      <w:r w:rsidRPr="00030313">
        <w:rPr>
          <w:rFonts w:ascii="Times New Roman" w:hAnsi="Times New Roman"/>
          <w:color w:val="000000"/>
          <w:sz w:val="28"/>
          <w:shd w:val="clear" w:color="auto" w:fill="FFFFFF"/>
        </w:rPr>
        <w:t>.</w:t>
      </w:r>
      <w:r w:rsidRPr="00030313">
        <w:rPr>
          <w:rFonts w:ascii="Times New Roman" w:hAnsi="Times New Roman"/>
          <w:color w:val="000000"/>
          <w:sz w:val="28"/>
          <w:shd w:val="clear" w:color="auto" w:fill="FFFFFF"/>
        </w:rPr>
        <w:t xml:space="preserve"> </w:t>
      </w:r>
      <w:r w:rsidRPr="00030313">
        <w:rPr>
          <w:rFonts w:ascii="Times New Roman" w:hAnsi="Times New Roman"/>
          <w:color w:val="000000"/>
          <w:sz w:val="28"/>
          <w:shd w:val="clear" w:color="auto" w:fill="FFFFFF"/>
        </w:rPr>
        <w:t xml:space="preserve">Lo fundamental, en todo caso, es que todo ciudadano colombiano pueda acceder a su registro civil de nacimiento y cédula de ciudadanía correspondiente, </w:t>
      </w:r>
      <w:r w:rsidRPr="00030313">
        <w:rPr>
          <w:rFonts w:ascii="Times New Roman" w:hAnsi="Times New Roman"/>
          <w:color w:val="000000"/>
          <w:sz w:val="28"/>
          <w:shd w:val="clear" w:color="auto" w:fill="FFFFFF"/>
        </w:rPr>
        <w:t xml:space="preserve">física </w:t>
      </w:r>
      <w:r w:rsidRPr="00030313">
        <w:rPr>
          <w:rFonts w:ascii="Times New Roman" w:hAnsi="Times New Roman"/>
          <w:color w:val="000000"/>
          <w:sz w:val="28"/>
          <w:shd w:val="clear" w:color="auto" w:fill="FFFFFF"/>
        </w:rPr>
        <w:t>o digital, con los marcadores de género que disponga, para que pueda hacer ejercicio efectivo de sus derechos civiles y polític</w:t>
      </w:r>
      <w:r w:rsidRPr="00030313">
        <w:rPr>
          <w:rFonts w:ascii="Times New Roman" w:hAnsi="Times New Roman"/>
          <w:color w:val="000000"/>
          <w:sz w:val="28"/>
          <w:shd w:val="clear" w:color="auto" w:fill="FFFFFF"/>
        </w:rPr>
        <w:t>o</w:t>
      </w:r>
      <w:r w:rsidRPr="00030313">
        <w:rPr>
          <w:rFonts w:ascii="Times New Roman" w:hAnsi="Times New Roman"/>
          <w:color w:val="000000"/>
          <w:sz w:val="28"/>
          <w:shd w:val="clear" w:color="auto" w:fill="FFFFFF"/>
        </w:rPr>
        <w:t xml:space="preserve">s, </w:t>
      </w:r>
      <w:r w:rsidRPr="00030313">
        <w:rPr>
          <w:rFonts w:ascii="Times New Roman" w:hAnsi="Times New Roman"/>
          <w:color w:val="000000"/>
          <w:sz w:val="28"/>
          <w:shd w:val="clear" w:color="auto" w:fill="FFFFFF"/>
        </w:rPr>
        <w:t xml:space="preserve">y </w:t>
      </w:r>
      <w:r w:rsidRPr="00030313">
        <w:rPr>
          <w:rFonts w:ascii="Times New Roman" w:hAnsi="Times New Roman"/>
          <w:color w:val="000000"/>
          <w:sz w:val="28"/>
          <w:shd w:val="clear" w:color="auto" w:fill="FFFFFF"/>
        </w:rPr>
        <w:t xml:space="preserve">contraer obligaciones. </w:t>
      </w:r>
    </w:p>
    <w:p w:rsidR="00487EBF" w:rsidRPr="00030313" w:rsidRDefault="00030313" w:rsidP="00C61937">
      <w:pPr>
        <w:ind w:right="51"/>
        <w:jc w:val="both"/>
        <w:rPr>
          <w:rFonts w:ascii="Times New Roman" w:hAnsi="Times New Roman"/>
          <w:b/>
          <w:iCs/>
          <w:spacing w:val="5"/>
          <w:sz w:val="28"/>
        </w:rPr>
      </w:pPr>
    </w:p>
    <w:p w:rsidR="00840488" w:rsidRPr="00030313" w:rsidRDefault="00030313" w:rsidP="00C61937">
      <w:pPr>
        <w:numPr>
          <w:ilvl w:val="0"/>
          <w:numId w:val="6"/>
        </w:numPr>
        <w:ind w:left="0" w:right="51" w:firstLine="0"/>
        <w:jc w:val="both"/>
        <w:rPr>
          <w:rFonts w:ascii="Times New Roman" w:hAnsi="Times New Roman"/>
          <w:b/>
          <w:iCs/>
          <w:spacing w:val="5"/>
          <w:sz w:val="28"/>
        </w:rPr>
      </w:pPr>
      <w:r w:rsidRPr="00030313">
        <w:rPr>
          <w:rFonts w:ascii="Times New Roman" w:hAnsi="Times New Roman"/>
          <w:color w:val="000000"/>
          <w:sz w:val="28"/>
          <w:shd w:val="clear" w:color="auto" w:fill="FFFFFF"/>
        </w:rPr>
        <w:t xml:space="preserve">La Registraduría Nacional del Estado Civil puso para conocimiento público cuáles son los posibles </w:t>
      </w:r>
      <w:r w:rsidRPr="00030313">
        <w:rPr>
          <w:rFonts w:ascii="Times New Roman" w:hAnsi="Times New Roman"/>
          <w:color w:val="000000"/>
          <w:sz w:val="28"/>
          <w:shd w:val="clear" w:color="auto" w:fill="FFFFFF"/>
        </w:rPr>
        <w:t>beneficios de la cédula digital en Colombia</w:t>
      </w:r>
      <w:r w:rsidRPr="00030313">
        <w:rPr>
          <w:rStyle w:val="Refdenotaalpie"/>
          <w:rFonts w:ascii="Times New Roman" w:hAnsi="Times New Roman"/>
          <w:color w:val="000000"/>
          <w:sz w:val="28"/>
          <w:shd w:val="clear" w:color="auto" w:fill="FFFFFF"/>
        </w:rPr>
        <w:footnoteReference w:id="86"/>
      </w:r>
      <w:r w:rsidRPr="00030313">
        <w:rPr>
          <w:rFonts w:ascii="Times New Roman" w:hAnsi="Times New Roman"/>
          <w:color w:val="000000"/>
          <w:sz w:val="28"/>
          <w:shd w:val="clear" w:color="auto" w:fill="FFFFFF"/>
        </w:rPr>
        <w:t>.</w:t>
      </w:r>
      <w:r w:rsidRPr="00030313">
        <w:rPr>
          <w:rFonts w:ascii="Times New Roman" w:hAnsi="Times New Roman"/>
          <w:color w:val="000000"/>
          <w:sz w:val="28"/>
          <w:shd w:val="clear" w:color="auto" w:fill="FFFFFF"/>
        </w:rPr>
        <w:t xml:space="preserve"> </w:t>
      </w:r>
      <w:r w:rsidRPr="00030313">
        <w:rPr>
          <w:rFonts w:ascii="Times New Roman" w:hAnsi="Times New Roman"/>
          <w:color w:val="000000"/>
          <w:sz w:val="28"/>
          <w:shd w:val="clear" w:color="auto" w:fill="FFFFFF"/>
        </w:rPr>
        <w:t xml:space="preserve">Al respecto, enumeró los siguientes beneficios: </w:t>
      </w:r>
      <w:r w:rsidRPr="00030313">
        <w:rPr>
          <w:rFonts w:ascii="Times New Roman" w:hAnsi="Times New Roman"/>
          <w:i/>
          <w:iCs/>
          <w:color w:val="000000"/>
          <w:sz w:val="28"/>
          <w:shd w:val="clear" w:color="auto" w:fill="FFFFFF"/>
        </w:rPr>
        <w:t xml:space="preserve">(i) </w:t>
      </w:r>
      <w:r w:rsidRPr="00030313">
        <w:rPr>
          <w:rFonts w:ascii="Times New Roman" w:hAnsi="Times New Roman"/>
          <w:color w:val="000000"/>
          <w:sz w:val="28"/>
          <w:shd w:val="clear" w:color="auto" w:fill="FFFFFF"/>
        </w:rPr>
        <w:t xml:space="preserve">mayor seguridad; </w:t>
      </w:r>
      <w:r w:rsidRPr="00030313">
        <w:rPr>
          <w:rFonts w:ascii="Times New Roman" w:hAnsi="Times New Roman"/>
          <w:i/>
          <w:iCs/>
          <w:color w:val="000000"/>
          <w:sz w:val="28"/>
          <w:shd w:val="clear" w:color="auto" w:fill="FFFFFF"/>
        </w:rPr>
        <w:t xml:space="preserve">(ii) </w:t>
      </w:r>
      <w:r w:rsidRPr="00030313">
        <w:rPr>
          <w:rFonts w:ascii="Times New Roman" w:hAnsi="Times New Roman"/>
          <w:color w:val="000000"/>
          <w:sz w:val="28"/>
          <w:shd w:val="clear" w:color="auto" w:fill="FFFFFF"/>
        </w:rPr>
        <w:t xml:space="preserve">imposibilidad de falsificación o adulteración; </w:t>
      </w:r>
      <w:r w:rsidRPr="00030313">
        <w:rPr>
          <w:rFonts w:ascii="Times New Roman" w:hAnsi="Times New Roman"/>
          <w:i/>
          <w:iCs/>
          <w:color w:val="000000"/>
          <w:sz w:val="28"/>
          <w:shd w:val="clear" w:color="auto" w:fill="FFFFFF"/>
        </w:rPr>
        <w:t xml:space="preserve">(iii) </w:t>
      </w:r>
      <w:r w:rsidRPr="00030313">
        <w:rPr>
          <w:rFonts w:ascii="Times New Roman" w:hAnsi="Times New Roman"/>
          <w:color w:val="000000"/>
          <w:sz w:val="28"/>
          <w:shd w:val="clear" w:color="auto" w:fill="FFFFFF"/>
        </w:rPr>
        <w:t xml:space="preserve">identificación y autenticación biométrica; </w:t>
      </w:r>
      <w:r w:rsidRPr="00030313">
        <w:rPr>
          <w:rFonts w:ascii="Times New Roman" w:hAnsi="Times New Roman"/>
          <w:i/>
          <w:iCs/>
          <w:color w:val="000000"/>
          <w:sz w:val="28"/>
          <w:shd w:val="clear" w:color="auto" w:fill="FFFFFF"/>
        </w:rPr>
        <w:t>(iv)</w:t>
      </w:r>
      <w:r w:rsidRPr="00030313">
        <w:rPr>
          <w:rFonts w:ascii="Times New Roman" w:hAnsi="Times New Roman"/>
          <w:color w:val="000000"/>
          <w:sz w:val="28"/>
          <w:shd w:val="clear" w:color="auto" w:fill="FFFFFF"/>
        </w:rPr>
        <w:t xml:space="preserve"> </w:t>
      </w:r>
      <w:r w:rsidRPr="00030313">
        <w:rPr>
          <w:rFonts w:ascii="Times New Roman" w:hAnsi="Times New Roman"/>
          <w:color w:val="000000"/>
          <w:sz w:val="28"/>
          <w:shd w:val="clear" w:color="auto" w:fill="FFFFFF"/>
        </w:rPr>
        <w:t xml:space="preserve">identificación no presencial en trámites a través de la web; </w:t>
      </w:r>
      <w:r w:rsidRPr="00030313">
        <w:rPr>
          <w:rFonts w:ascii="Times New Roman" w:hAnsi="Times New Roman"/>
          <w:i/>
          <w:iCs/>
          <w:color w:val="000000"/>
          <w:sz w:val="28"/>
          <w:shd w:val="clear" w:color="auto" w:fill="FFFFFF"/>
        </w:rPr>
        <w:t xml:space="preserve">(v) </w:t>
      </w:r>
      <w:r w:rsidRPr="00030313">
        <w:rPr>
          <w:rFonts w:ascii="Times New Roman" w:hAnsi="Times New Roman"/>
          <w:color w:val="000000"/>
          <w:sz w:val="28"/>
          <w:shd w:val="clear" w:color="auto" w:fill="FFFFFF"/>
        </w:rPr>
        <w:t xml:space="preserve">evita la suplantación o usurpación </w:t>
      </w:r>
      <w:r w:rsidRPr="00030313">
        <w:rPr>
          <w:rFonts w:ascii="Times New Roman" w:hAnsi="Times New Roman"/>
          <w:color w:val="000000"/>
          <w:sz w:val="28"/>
          <w:shd w:val="clear" w:color="auto" w:fill="FFFFFF"/>
        </w:rPr>
        <w:t xml:space="preserve">de identidad; </w:t>
      </w:r>
      <w:r w:rsidRPr="00030313">
        <w:rPr>
          <w:rFonts w:ascii="Times New Roman" w:hAnsi="Times New Roman"/>
          <w:i/>
          <w:iCs/>
          <w:color w:val="000000"/>
          <w:sz w:val="28"/>
          <w:shd w:val="clear" w:color="auto" w:fill="FFFFFF"/>
        </w:rPr>
        <w:t xml:space="preserve">(vi) </w:t>
      </w:r>
      <w:r w:rsidRPr="00030313">
        <w:rPr>
          <w:rFonts w:ascii="Times New Roman" w:hAnsi="Times New Roman"/>
          <w:color w:val="000000"/>
          <w:sz w:val="28"/>
          <w:shd w:val="clear" w:color="auto" w:fill="FFFFFF"/>
        </w:rPr>
        <w:t xml:space="preserve">garantiza la protección de datos personales; </w:t>
      </w:r>
      <w:r w:rsidRPr="00030313">
        <w:rPr>
          <w:rFonts w:ascii="Times New Roman" w:hAnsi="Times New Roman"/>
          <w:i/>
          <w:iCs/>
          <w:color w:val="000000"/>
          <w:sz w:val="28"/>
          <w:shd w:val="clear" w:color="auto" w:fill="FFFFFF"/>
        </w:rPr>
        <w:t xml:space="preserve">(vii) </w:t>
      </w:r>
      <w:r w:rsidRPr="00030313">
        <w:rPr>
          <w:rFonts w:ascii="Times New Roman" w:hAnsi="Times New Roman"/>
          <w:color w:val="000000"/>
          <w:sz w:val="28"/>
          <w:shd w:val="clear" w:color="auto" w:fill="FFFFFF"/>
        </w:rPr>
        <w:t xml:space="preserve">genera confianza en los trámites y servicios de las entidades públicas y privadas; y </w:t>
      </w:r>
      <w:r w:rsidRPr="00030313">
        <w:rPr>
          <w:rFonts w:ascii="Times New Roman" w:hAnsi="Times New Roman"/>
          <w:i/>
          <w:iCs/>
          <w:color w:val="000000"/>
          <w:sz w:val="28"/>
          <w:shd w:val="clear" w:color="auto" w:fill="FFFFFF"/>
        </w:rPr>
        <w:t>(</w:t>
      </w:r>
      <w:r w:rsidRPr="00030313">
        <w:rPr>
          <w:rFonts w:ascii="Times New Roman" w:hAnsi="Times New Roman"/>
          <w:i/>
          <w:iCs/>
          <w:color w:val="000000"/>
          <w:sz w:val="28"/>
          <w:shd w:val="clear" w:color="auto" w:fill="FFFFFF"/>
        </w:rPr>
        <w:t xml:space="preserve">viii) </w:t>
      </w:r>
      <w:r w:rsidRPr="00030313">
        <w:rPr>
          <w:rFonts w:ascii="Times New Roman" w:hAnsi="Times New Roman"/>
          <w:color w:val="000000"/>
          <w:sz w:val="28"/>
          <w:shd w:val="clear" w:color="auto" w:fill="FFFFFF"/>
        </w:rPr>
        <w:t xml:space="preserve">permite la verificación de identidad de forma segura por parte de las autoridades. </w:t>
      </w:r>
    </w:p>
    <w:p w:rsidR="006B45F5" w:rsidRPr="00030313" w:rsidRDefault="00030313" w:rsidP="00C61937">
      <w:pPr>
        <w:ind w:right="51"/>
        <w:jc w:val="both"/>
        <w:rPr>
          <w:rFonts w:ascii="Times New Roman" w:hAnsi="Times New Roman"/>
          <w:b/>
          <w:iCs/>
          <w:spacing w:val="5"/>
          <w:sz w:val="28"/>
        </w:rPr>
      </w:pPr>
    </w:p>
    <w:p w:rsidR="00D82055" w:rsidRPr="00030313" w:rsidRDefault="00030313" w:rsidP="00C61937">
      <w:pPr>
        <w:numPr>
          <w:ilvl w:val="0"/>
          <w:numId w:val="6"/>
        </w:numPr>
        <w:ind w:left="0" w:right="51" w:firstLine="0"/>
        <w:jc w:val="both"/>
        <w:rPr>
          <w:rFonts w:ascii="Times New Roman" w:hAnsi="Times New Roman"/>
          <w:b/>
          <w:iCs/>
          <w:spacing w:val="5"/>
          <w:sz w:val="28"/>
        </w:rPr>
      </w:pPr>
      <w:r w:rsidRPr="00030313">
        <w:rPr>
          <w:rFonts w:ascii="Times New Roman" w:hAnsi="Times New Roman"/>
          <w:color w:val="000000"/>
          <w:sz w:val="28"/>
          <w:shd w:val="clear" w:color="auto" w:fill="FFFFFF"/>
        </w:rPr>
        <w:t>En esencia, los “beneficios”</w:t>
      </w:r>
      <w:r w:rsidRPr="00030313">
        <w:rPr>
          <w:rFonts w:ascii="Times New Roman" w:hAnsi="Times New Roman"/>
          <w:color w:val="000000"/>
          <w:sz w:val="28"/>
          <w:shd w:val="clear" w:color="auto" w:fill="FFFFFF"/>
        </w:rPr>
        <w:t xml:space="preserve"> que implica el conservar la cédula de ciudadanía digital</w:t>
      </w:r>
      <w:r w:rsidRPr="00030313">
        <w:rPr>
          <w:rFonts w:ascii="Times New Roman" w:hAnsi="Times New Roman"/>
          <w:color w:val="000000"/>
          <w:sz w:val="28"/>
          <w:shd w:val="clear" w:color="auto" w:fill="FFFFFF"/>
        </w:rPr>
        <w:t xml:space="preserve"> presentados por la entidad, no se traducen, jurídica ni materialmente, en barre</w:t>
      </w:r>
      <w:r w:rsidRPr="00030313">
        <w:rPr>
          <w:rFonts w:ascii="Times New Roman" w:hAnsi="Times New Roman"/>
          <w:color w:val="000000"/>
          <w:sz w:val="28"/>
          <w:shd w:val="clear" w:color="auto" w:fill="FFFFFF"/>
        </w:rPr>
        <w:t xml:space="preserve">ras o dificultades para las personas que carecen de la cédula digital </w:t>
      </w:r>
      <w:r w:rsidRPr="00030313">
        <w:rPr>
          <w:rFonts w:ascii="Times New Roman" w:hAnsi="Times New Roman"/>
          <w:color w:val="000000"/>
          <w:sz w:val="28"/>
          <w:shd w:val="clear" w:color="auto" w:fill="FFFFFF"/>
        </w:rPr>
        <w:t>para poder ejercer sus derechos civiles y políticos, así como su acceso a la oferta de servicios del Estado</w:t>
      </w:r>
      <w:r w:rsidRPr="00030313">
        <w:rPr>
          <w:rFonts w:ascii="Times New Roman" w:hAnsi="Times New Roman"/>
          <w:color w:val="000000"/>
          <w:sz w:val="28"/>
          <w:shd w:val="clear" w:color="auto" w:fill="FFFFFF"/>
        </w:rPr>
        <w:t xml:space="preserve"> o su relacionamiento con entidades privadas. </w:t>
      </w:r>
      <w:r w:rsidRPr="00030313">
        <w:rPr>
          <w:rFonts w:ascii="Times New Roman" w:hAnsi="Times New Roman"/>
          <w:color w:val="000000"/>
          <w:sz w:val="28"/>
          <w:shd w:val="clear" w:color="auto" w:fill="FFFFFF"/>
        </w:rPr>
        <w:t>En ese sentido, la Sala Quinta de</w:t>
      </w:r>
      <w:r w:rsidRPr="00030313">
        <w:rPr>
          <w:rFonts w:ascii="Times New Roman" w:hAnsi="Times New Roman"/>
          <w:color w:val="000000"/>
          <w:sz w:val="28"/>
          <w:shd w:val="clear" w:color="auto" w:fill="FFFFFF"/>
        </w:rPr>
        <w:t xml:space="preserve"> Revisión no considera que exista, en términos prácticos, una diferencia fundamental entre la cédula de ciudadanía en formato digital o formato de hologramas amarill</w:t>
      </w:r>
      <w:r w:rsidRPr="00030313">
        <w:rPr>
          <w:rFonts w:ascii="Times New Roman" w:hAnsi="Times New Roman"/>
          <w:color w:val="000000"/>
          <w:sz w:val="28"/>
          <w:shd w:val="clear" w:color="auto" w:fill="FFFFFF"/>
        </w:rPr>
        <w:t>o</w:t>
      </w:r>
      <w:r w:rsidRPr="00030313">
        <w:rPr>
          <w:rFonts w:ascii="Times New Roman" w:hAnsi="Times New Roman"/>
          <w:color w:val="000000"/>
          <w:sz w:val="28"/>
          <w:shd w:val="clear" w:color="auto" w:fill="FFFFFF"/>
        </w:rPr>
        <w:t xml:space="preserve"> </w:t>
      </w:r>
      <w:r w:rsidRPr="00030313">
        <w:rPr>
          <w:rFonts w:ascii="Times New Roman" w:hAnsi="Times New Roman"/>
          <w:color w:val="000000"/>
          <w:sz w:val="28"/>
          <w:shd w:val="clear" w:color="auto" w:fill="FFFFFF"/>
        </w:rPr>
        <w:t>que implique obstáculos para el ejercicio efectivo del ser un ciudadano colombiano</w:t>
      </w:r>
      <w:r w:rsidRPr="00030313">
        <w:rPr>
          <w:rStyle w:val="Refdenotaalpie"/>
          <w:rFonts w:ascii="Times New Roman" w:hAnsi="Times New Roman"/>
          <w:color w:val="000000"/>
          <w:sz w:val="28"/>
          <w:shd w:val="clear" w:color="auto" w:fill="FFFFFF"/>
        </w:rPr>
        <w:footnoteReference w:id="87"/>
      </w:r>
      <w:r w:rsidRPr="00030313">
        <w:rPr>
          <w:rFonts w:ascii="Times New Roman" w:hAnsi="Times New Roman"/>
          <w:color w:val="000000"/>
          <w:sz w:val="28"/>
          <w:shd w:val="clear" w:color="auto" w:fill="FFFFFF"/>
        </w:rPr>
        <w:t>.</w:t>
      </w:r>
      <w:r w:rsidRPr="00030313">
        <w:rPr>
          <w:rFonts w:ascii="Times New Roman" w:hAnsi="Times New Roman"/>
          <w:color w:val="000000"/>
          <w:sz w:val="28"/>
          <w:shd w:val="clear" w:color="auto" w:fill="FFFFFF"/>
        </w:rPr>
        <w:t xml:space="preserve"> </w:t>
      </w:r>
    </w:p>
    <w:p w:rsidR="00C36B4C" w:rsidRPr="00030313" w:rsidRDefault="00030313" w:rsidP="00C61937">
      <w:pPr>
        <w:ind w:right="51"/>
        <w:jc w:val="both"/>
        <w:rPr>
          <w:rFonts w:ascii="Times New Roman" w:hAnsi="Times New Roman"/>
          <w:color w:val="000000"/>
          <w:sz w:val="28"/>
          <w:shd w:val="clear" w:color="auto" w:fill="FFFFFF"/>
        </w:rPr>
      </w:pPr>
    </w:p>
    <w:p w:rsidR="00C36B4C" w:rsidRPr="00030313" w:rsidRDefault="00030313" w:rsidP="00C61937">
      <w:pPr>
        <w:ind w:right="51"/>
        <w:jc w:val="both"/>
        <w:rPr>
          <w:rFonts w:ascii="Times New Roman" w:hAnsi="Times New Roman"/>
          <w:color w:val="000000"/>
          <w:sz w:val="28"/>
          <w:shd w:val="clear" w:color="auto" w:fill="FFFFFF"/>
        </w:rPr>
      </w:pPr>
    </w:p>
    <w:p w:rsidR="00C36B4C" w:rsidRPr="00030313" w:rsidRDefault="00030313" w:rsidP="00C61937">
      <w:pPr>
        <w:pStyle w:val="Ttulo2"/>
        <w:numPr>
          <w:ilvl w:val="1"/>
          <w:numId w:val="10"/>
        </w:numPr>
        <w:rPr>
          <w:rFonts w:ascii="Times New Roman" w:hAnsi="Times New Roman"/>
          <w:i/>
          <w:iCs/>
          <w:sz w:val="28"/>
          <w:shd w:val="clear" w:color="auto" w:fill="FFFFFF"/>
        </w:rPr>
      </w:pPr>
      <w:bookmarkStart w:id="16" w:name="_Toc183628566"/>
      <w:r w:rsidRPr="00030313">
        <w:rPr>
          <w:rFonts w:ascii="Times New Roman" w:hAnsi="Times New Roman"/>
          <w:sz w:val="28"/>
          <w:shd w:val="clear" w:color="auto" w:fill="FFFFFF"/>
        </w:rPr>
        <w:t>.</w:t>
      </w:r>
      <w:r w:rsidRPr="00030313">
        <w:rPr>
          <w:rFonts w:ascii="Times New Roman" w:hAnsi="Times New Roman"/>
          <w:sz w:val="28"/>
          <w:shd w:val="clear" w:color="auto" w:fill="FFFFFF"/>
        </w:rPr>
        <w:t xml:space="preserve"> </w:t>
      </w:r>
      <w:r w:rsidRPr="00030313">
        <w:rPr>
          <w:rFonts w:ascii="Times New Roman" w:hAnsi="Times New Roman"/>
          <w:sz w:val="28"/>
          <w:shd w:val="clear" w:color="auto" w:fill="FFFFFF"/>
        </w:rPr>
        <w:t>Análisis del caso concreto</w:t>
      </w:r>
      <w:bookmarkEnd w:id="16"/>
      <w:r w:rsidRPr="00030313">
        <w:rPr>
          <w:rFonts w:ascii="Times New Roman" w:hAnsi="Times New Roman"/>
          <w:i/>
          <w:iCs/>
          <w:sz w:val="28"/>
          <w:shd w:val="clear" w:color="auto" w:fill="FFFFFF"/>
        </w:rPr>
        <w:t xml:space="preserve"> </w:t>
      </w:r>
    </w:p>
    <w:p w:rsidR="00C36B4C" w:rsidRPr="00030313" w:rsidRDefault="00030313" w:rsidP="00C61937">
      <w:pPr>
        <w:jc w:val="both"/>
        <w:rPr>
          <w:rFonts w:ascii="Times New Roman" w:hAnsi="Times New Roman"/>
          <w:sz w:val="28"/>
        </w:rPr>
      </w:pPr>
    </w:p>
    <w:p w:rsidR="000C52D1" w:rsidRPr="00030313" w:rsidRDefault="00030313" w:rsidP="00C61937">
      <w:pPr>
        <w:jc w:val="both"/>
        <w:rPr>
          <w:rFonts w:ascii="Times New Roman" w:hAnsi="Times New Roman"/>
          <w:b/>
          <w:bCs/>
          <w:i/>
          <w:iCs/>
          <w:sz w:val="28"/>
        </w:rPr>
      </w:pPr>
      <w:r w:rsidRPr="00030313">
        <w:rPr>
          <w:rFonts w:ascii="Times New Roman" w:hAnsi="Times New Roman"/>
          <w:b/>
          <w:bCs/>
          <w:i/>
          <w:iCs/>
          <w:sz w:val="28"/>
        </w:rPr>
        <w:t>La Registraduría Nacional del Estado Civil vulneró l</w:t>
      </w:r>
      <w:r w:rsidRPr="00030313">
        <w:rPr>
          <w:rFonts w:ascii="Times New Roman" w:hAnsi="Times New Roman"/>
          <w:b/>
          <w:bCs/>
          <w:i/>
          <w:iCs/>
          <w:sz w:val="28"/>
        </w:rPr>
        <w:t>os</w:t>
      </w:r>
      <w:r w:rsidRPr="00030313">
        <w:rPr>
          <w:rFonts w:ascii="Times New Roman" w:hAnsi="Times New Roman"/>
          <w:b/>
          <w:bCs/>
          <w:i/>
          <w:iCs/>
          <w:sz w:val="28"/>
        </w:rPr>
        <w:t xml:space="preserve"> </w:t>
      </w:r>
      <w:r w:rsidRPr="00030313">
        <w:rPr>
          <w:rFonts w:ascii="Times New Roman" w:hAnsi="Times New Roman"/>
          <w:b/>
          <w:bCs/>
          <w:i/>
          <w:iCs/>
          <w:sz w:val="28"/>
        </w:rPr>
        <w:t>derechos</w:t>
      </w:r>
      <w:r w:rsidRPr="00030313">
        <w:rPr>
          <w:rFonts w:ascii="Times New Roman" w:hAnsi="Times New Roman"/>
          <w:b/>
          <w:bCs/>
          <w:i/>
          <w:iCs/>
          <w:sz w:val="28"/>
        </w:rPr>
        <w:t xml:space="preserve"> </w:t>
      </w:r>
      <w:r w:rsidRPr="00030313">
        <w:rPr>
          <w:rFonts w:ascii="Times New Roman" w:hAnsi="Times New Roman"/>
          <w:b/>
          <w:bCs/>
          <w:i/>
          <w:iCs/>
          <w:sz w:val="28"/>
        </w:rPr>
        <w:t>a la igualdad,</w:t>
      </w:r>
      <w:r w:rsidRPr="00030313">
        <w:rPr>
          <w:rFonts w:ascii="Times New Roman" w:hAnsi="Times New Roman"/>
          <w:b/>
          <w:bCs/>
          <w:i/>
          <w:iCs/>
          <w:sz w:val="28"/>
        </w:rPr>
        <w:t xml:space="preserve"> al libre desarrollo de la personalidad y a la identidad de género de la persona accionante</w:t>
      </w:r>
      <w:r w:rsidRPr="00030313">
        <w:rPr>
          <w:rFonts w:ascii="Times New Roman" w:hAnsi="Times New Roman"/>
          <w:b/>
          <w:bCs/>
          <w:i/>
          <w:iCs/>
          <w:sz w:val="28"/>
        </w:rPr>
        <w:t>, en su faceta de reconocimiento</w:t>
      </w:r>
      <w:r w:rsidRPr="00030313">
        <w:rPr>
          <w:rFonts w:ascii="Times New Roman" w:hAnsi="Times New Roman"/>
          <w:b/>
          <w:bCs/>
          <w:i/>
          <w:iCs/>
          <w:sz w:val="28"/>
        </w:rPr>
        <w:t xml:space="preserve"> jurídico </w:t>
      </w:r>
    </w:p>
    <w:p w:rsidR="000C52D1" w:rsidRPr="00030313" w:rsidRDefault="00030313" w:rsidP="00C61937">
      <w:pPr>
        <w:jc w:val="both"/>
        <w:rPr>
          <w:rFonts w:ascii="Times New Roman" w:hAnsi="Times New Roman"/>
          <w:sz w:val="28"/>
        </w:rPr>
      </w:pPr>
    </w:p>
    <w:p w:rsidR="00DE615F" w:rsidRPr="00030313" w:rsidRDefault="00030313" w:rsidP="00C61937">
      <w:pPr>
        <w:pStyle w:val="Prrafodelista"/>
        <w:numPr>
          <w:ilvl w:val="0"/>
          <w:numId w:val="6"/>
        </w:numPr>
        <w:ind w:left="0" w:firstLine="0"/>
        <w:jc w:val="both"/>
        <w:rPr>
          <w:rFonts w:ascii="Times New Roman" w:hAnsi="Times New Roman"/>
          <w:sz w:val="28"/>
        </w:rPr>
      </w:pPr>
      <w:r w:rsidRPr="00030313">
        <w:rPr>
          <w:rFonts w:ascii="Times New Roman" w:hAnsi="Times New Roman"/>
          <w:i/>
          <w:iCs/>
          <w:sz w:val="28"/>
        </w:rPr>
        <w:t>Sergio</w:t>
      </w:r>
      <w:r w:rsidRPr="00030313">
        <w:rPr>
          <w:rFonts w:ascii="Times New Roman" w:hAnsi="Times New Roman"/>
          <w:sz w:val="28"/>
        </w:rPr>
        <w:t xml:space="preserve"> presentó una acción de tutela </w:t>
      </w:r>
      <w:r w:rsidRPr="00030313">
        <w:rPr>
          <w:rFonts w:ascii="Times New Roman" w:hAnsi="Times New Roman"/>
          <w:sz w:val="28"/>
        </w:rPr>
        <w:t xml:space="preserve">contra la Registraduría Nacional del Estado Civil por considerar que </w:t>
      </w:r>
      <w:r w:rsidRPr="00030313">
        <w:rPr>
          <w:rFonts w:ascii="Times New Roman" w:hAnsi="Times New Roman"/>
          <w:sz w:val="28"/>
        </w:rPr>
        <w:t xml:space="preserve">la entidad, al haber </w:t>
      </w:r>
      <w:r w:rsidRPr="00030313">
        <w:rPr>
          <w:rFonts w:ascii="Times New Roman" w:hAnsi="Times New Roman"/>
          <w:sz w:val="28"/>
        </w:rPr>
        <w:t>negado la expedición de su cédula de ciudadanía en formato digital con el marcador de sexo “No Binario”</w:t>
      </w:r>
      <w:r w:rsidRPr="00030313">
        <w:rPr>
          <w:rFonts w:ascii="Times New Roman" w:hAnsi="Times New Roman"/>
          <w:sz w:val="28"/>
        </w:rPr>
        <w:t>, vulneró sus derechos fundament</w:t>
      </w:r>
      <w:r w:rsidRPr="00030313">
        <w:rPr>
          <w:rFonts w:ascii="Times New Roman" w:hAnsi="Times New Roman"/>
          <w:sz w:val="28"/>
        </w:rPr>
        <w:t xml:space="preserve">ales al libre desarrollo de la personalidad, a la igualdad y a la libre circulación. </w:t>
      </w:r>
      <w:r w:rsidRPr="00030313">
        <w:rPr>
          <w:rFonts w:ascii="Times New Roman" w:hAnsi="Times New Roman"/>
          <w:sz w:val="28"/>
        </w:rPr>
        <w:t xml:space="preserve">Según los hechos </w:t>
      </w:r>
      <w:r w:rsidRPr="00030313">
        <w:rPr>
          <w:rFonts w:ascii="Times New Roman" w:hAnsi="Times New Roman"/>
          <w:sz w:val="28"/>
        </w:rPr>
        <w:t xml:space="preserve">probados, </w:t>
      </w:r>
      <w:r w:rsidRPr="00030313">
        <w:rPr>
          <w:rFonts w:ascii="Times New Roman" w:hAnsi="Times New Roman"/>
          <w:sz w:val="28"/>
        </w:rPr>
        <w:t xml:space="preserve">la persona narró </w:t>
      </w:r>
      <w:r w:rsidRPr="00030313">
        <w:rPr>
          <w:rFonts w:ascii="Times New Roman" w:hAnsi="Times New Roman"/>
          <w:sz w:val="28"/>
        </w:rPr>
        <w:t xml:space="preserve">en su escrito de tutela </w:t>
      </w:r>
      <w:r w:rsidRPr="00030313">
        <w:rPr>
          <w:rFonts w:ascii="Times New Roman" w:hAnsi="Times New Roman"/>
          <w:sz w:val="28"/>
        </w:rPr>
        <w:t xml:space="preserve">que, actualmente, cuenta con </w:t>
      </w:r>
      <w:r w:rsidRPr="00030313">
        <w:rPr>
          <w:rFonts w:ascii="Times New Roman" w:hAnsi="Times New Roman"/>
          <w:sz w:val="28"/>
        </w:rPr>
        <w:t xml:space="preserve">registro civil que tiene la marcación “No Binario” en la casilla “sexo” y </w:t>
      </w:r>
      <w:r w:rsidRPr="00030313">
        <w:rPr>
          <w:rFonts w:ascii="Times New Roman" w:hAnsi="Times New Roman"/>
          <w:sz w:val="28"/>
        </w:rPr>
        <w:t xml:space="preserve">que, igualmente, cuenta con una cédula de ciudadanía amarilla de holograma que </w:t>
      </w:r>
      <w:r w:rsidRPr="00030313">
        <w:rPr>
          <w:rFonts w:ascii="Times New Roman" w:hAnsi="Times New Roman"/>
          <w:sz w:val="28"/>
        </w:rPr>
        <w:t>también cuenta con la marcación “No Binario” en la casilla “</w:t>
      </w:r>
      <w:r w:rsidRPr="00030313">
        <w:rPr>
          <w:rFonts w:ascii="Times New Roman" w:hAnsi="Times New Roman"/>
          <w:sz w:val="28"/>
        </w:rPr>
        <w:t xml:space="preserve">sexo”. </w:t>
      </w:r>
      <w:r w:rsidRPr="00030313">
        <w:rPr>
          <w:rFonts w:ascii="Times New Roman" w:hAnsi="Times New Roman"/>
          <w:sz w:val="28"/>
        </w:rPr>
        <w:t xml:space="preserve">Asimismo, también </w:t>
      </w:r>
      <w:r w:rsidRPr="00030313">
        <w:rPr>
          <w:rFonts w:ascii="Times New Roman" w:hAnsi="Times New Roman"/>
          <w:sz w:val="28"/>
        </w:rPr>
        <w:t>se le entregó el</w:t>
      </w:r>
      <w:r w:rsidRPr="00030313">
        <w:rPr>
          <w:rFonts w:ascii="Times New Roman" w:hAnsi="Times New Roman"/>
          <w:sz w:val="28"/>
        </w:rPr>
        <w:t xml:space="preserve"> pasaporte que contiene la marcación “X” correspondiente al sexo</w:t>
      </w:r>
      <w:r w:rsidRPr="00030313">
        <w:rPr>
          <w:rFonts w:ascii="Times New Roman" w:hAnsi="Times New Roman"/>
          <w:sz w:val="28"/>
        </w:rPr>
        <w:t>, con lo cua</w:t>
      </w:r>
      <w:r w:rsidRPr="00030313">
        <w:rPr>
          <w:rFonts w:ascii="Times New Roman" w:hAnsi="Times New Roman"/>
          <w:sz w:val="28"/>
        </w:rPr>
        <w:t>l sigue la convención internacional para la asignación de componente sexo</w:t>
      </w:r>
      <w:r w:rsidRPr="00030313">
        <w:rPr>
          <w:rFonts w:ascii="Times New Roman" w:hAnsi="Times New Roman"/>
          <w:sz w:val="28"/>
        </w:rPr>
        <w:t xml:space="preserve">, diferente a “Masculino” o “Femenino”. </w:t>
      </w:r>
    </w:p>
    <w:p w:rsidR="00DE615F" w:rsidRPr="00030313" w:rsidRDefault="00030313" w:rsidP="00C61937">
      <w:pPr>
        <w:jc w:val="both"/>
        <w:rPr>
          <w:rFonts w:ascii="Times New Roman" w:hAnsi="Times New Roman"/>
          <w:sz w:val="28"/>
        </w:rPr>
      </w:pPr>
    </w:p>
    <w:p w:rsidR="00190A3D" w:rsidRPr="00030313" w:rsidRDefault="00030313" w:rsidP="00C61937">
      <w:pPr>
        <w:numPr>
          <w:ilvl w:val="0"/>
          <w:numId w:val="6"/>
        </w:numPr>
        <w:ind w:left="0" w:firstLine="0"/>
        <w:jc w:val="both"/>
        <w:rPr>
          <w:rFonts w:ascii="Times New Roman" w:hAnsi="Times New Roman"/>
          <w:sz w:val="28"/>
        </w:rPr>
      </w:pPr>
      <w:r w:rsidRPr="00030313">
        <w:rPr>
          <w:rFonts w:ascii="Times New Roman" w:hAnsi="Times New Roman"/>
          <w:sz w:val="28"/>
        </w:rPr>
        <w:t>E</w:t>
      </w:r>
      <w:r w:rsidRPr="00030313">
        <w:rPr>
          <w:rFonts w:ascii="Times New Roman" w:hAnsi="Times New Roman"/>
          <w:sz w:val="28"/>
        </w:rPr>
        <w:t xml:space="preserve">l 22 de febrero de 2024, cuando la persona accionante se dirigió a la Registraduría Auxiliar de Villa Country a solicitar la expedición de su cédula de ciudadanía digital, tras haber sufragado el valor correspondiente para el trámite, </w:t>
      </w:r>
      <w:r w:rsidRPr="00030313">
        <w:rPr>
          <w:rFonts w:ascii="Times New Roman" w:hAnsi="Times New Roman"/>
          <w:sz w:val="28"/>
        </w:rPr>
        <w:t>los funcionarios de l</w:t>
      </w:r>
      <w:r w:rsidRPr="00030313">
        <w:rPr>
          <w:rFonts w:ascii="Times New Roman" w:hAnsi="Times New Roman"/>
          <w:sz w:val="28"/>
        </w:rPr>
        <w:t xml:space="preserve">a entidad le indicaron que no era posible entregarle el documento </w:t>
      </w:r>
      <w:r w:rsidRPr="00030313">
        <w:rPr>
          <w:rFonts w:ascii="Times New Roman" w:hAnsi="Times New Roman"/>
          <w:sz w:val="28"/>
        </w:rPr>
        <w:t>en formato digital con la marcación “No Binario”</w:t>
      </w:r>
      <w:r w:rsidRPr="00030313">
        <w:rPr>
          <w:rFonts w:ascii="Times New Roman" w:hAnsi="Times New Roman"/>
          <w:sz w:val="28"/>
        </w:rPr>
        <w:t xml:space="preserve">, sin darle más razones al respecto, según lo narró en su acción de tutela. </w:t>
      </w:r>
    </w:p>
    <w:p w:rsidR="00142FAC" w:rsidRPr="00030313" w:rsidRDefault="00030313" w:rsidP="00C61937">
      <w:pPr>
        <w:jc w:val="both"/>
        <w:rPr>
          <w:rFonts w:ascii="Times New Roman" w:hAnsi="Times New Roman"/>
          <w:sz w:val="28"/>
        </w:rPr>
      </w:pPr>
    </w:p>
    <w:p w:rsidR="00142FAC" w:rsidRPr="00030313" w:rsidRDefault="00030313" w:rsidP="00C61937">
      <w:pPr>
        <w:numPr>
          <w:ilvl w:val="0"/>
          <w:numId w:val="6"/>
        </w:numPr>
        <w:ind w:left="0" w:firstLine="0"/>
        <w:jc w:val="both"/>
        <w:rPr>
          <w:rFonts w:ascii="Times New Roman" w:hAnsi="Times New Roman"/>
          <w:sz w:val="28"/>
        </w:rPr>
      </w:pPr>
      <w:r w:rsidRPr="00030313">
        <w:rPr>
          <w:rFonts w:ascii="Times New Roman" w:hAnsi="Times New Roman"/>
          <w:sz w:val="28"/>
        </w:rPr>
        <w:t xml:space="preserve">Por medio de las pruebas recaudadas en sede de revisión, </w:t>
      </w:r>
      <w:r w:rsidRPr="00030313">
        <w:rPr>
          <w:rFonts w:ascii="Times New Roman" w:hAnsi="Times New Roman"/>
          <w:sz w:val="28"/>
        </w:rPr>
        <w:t>la Regi</w:t>
      </w:r>
      <w:r w:rsidRPr="00030313">
        <w:rPr>
          <w:rFonts w:ascii="Times New Roman" w:hAnsi="Times New Roman"/>
          <w:sz w:val="28"/>
        </w:rPr>
        <w:t>straduría Nacional del Estado Civil advirtió dos razones por las cuales no se le había expedido la cédula digital a</w:t>
      </w:r>
      <w:r w:rsidRPr="00030313">
        <w:rPr>
          <w:rFonts w:ascii="Times New Roman" w:hAnsi="Times New Roman"/>
          <w:sz w:val="28"/>
        </w:rPr>
        <w:t xml:space="preserve"> </w:t>
      </w:r>
      <w:r w:rsidRPr="00030313">
        <w:rPr>
          <w:rFonts w:ascii="Times New Roman" w:hAnsi="Times New Roman"/>
          <w:i/>
          <w:iCs/>
          <w:sz w:val="28"/>
        </w:rPr>
        <w:t>Sergio</w:t>
      </w:r>
      <w:r w:rsidRPr="00030313">
        <w:rPr>
          <w:rFonts w:ascii="Times New Roman" w:hAnsi="Times New Roman"/>
          <w:sz w:val="28"/>
        </w:rPr>
        <w:t>. L</w:t>
      </w:r>
      <w:r w:rsidRPr="00030313">
        <w:rPr>
          <w:rFonts w:ascii="Times New Roman" w:hAnsi="Times New Roman"/>
          <w:sz w:val="28"/>
        </w:rPr>
        <w:t xml:space="preserve">a primera tenía que ver con </w:t>
      </w:r>
      <w:r w:rsidRPr="00030313">
        <w:rPr>
          <w:rFonts w:ascii="Times New Roman" w:hAnsi="Times New Roman"/>
          <w:sz w:val="28"/>
        </w:rPr>
        <w:t>que, a juicio de la Registraduría, la corrección del marcador “sexo”</w:t>
      </w:r>
      <w:r w:rsidRPr="00030313">
        <w:rPr>
          <w:rFonts w:ascii="Times New Roman" w:hAnsi="Times New Roman"/>
          <w:sz w:val="28"/>
        </w:rPr>
        <w:t xml:space="preserve"> para el género “No Binario”</w:t>
      </w:r>
      <w:r w:rsidRPr="00030313">
        <w:rPr>
          <w:rFonts w:ascii="Times New Roman" w:hAnsi="Times New Roman"/>
          <w:sz w:val="28"/>
        </w:rPr>
        <w:t>, solo</w:t>
      </w:r>
      <w:r w:rsidRPr="00030313">
        <w:rPr>
          <w:rFonts w:ascii="Times New Roman" w:hAnsi="Times New Roman"/>
          <w:sz w:val="28"/>
        </w:rPr>
        <w:t xml:space="preserve"> </w:t>
      </w:r>
      <w:r w:rsidRPr="00030313">
        <w:rPr>
          <w:rFonts w:ascii="Times New Roman" w:hAnsi="Times New Roman"/>
          <w:sz w:val="28"/>
        </w:rPr>
        <w:t>ha</w:t>
      </w:r>
      <w:r w:rsidRPr="00030313">
        <w:rPr>
          <w:rFonts w:ascii="Times New Roman" w:hAnsi="Times New Roman"/>
          <w:sz w:val="28"/>
        </w:rPr>
        <w:t xml:space="preserve"> opera</w:t>
      </w:r>
      <w:r w:rsidRPr="00030313">
        <w:rPr>
          <w:rFonts w:ascii="Times New Roman" w:hAnsi="Times New Roman"/>
          <w:sz w:val="28"/>
        </w:rPr>
        <w:t>do</w:t>
      </w:r>
      <w:r w:rsidRPr="00030313">
        <w:rPr>
          <w:rFonts w:ascii="Times New Roman" w:hAnsi="Times New Roman"/>
          <w:sz w:val="28"/>
        </w:rPr>
        <w:t xml:space="preserve"> </w:t>
      </w:r>
      <w:r w:rsidRPr="00030313">
        <w:rPr>
          <w:rFonts w:ascii="Times New Roman" w:hAnsi="Times New Roman"/>
          <w:sz w:val="28"/>
        </w:rPr>
        <w:t>respecto de la cédula amarilla con holograma</w:t>
      </w:r>
      <w:r w:rsidRPr="00030313">
        <w:rPr>
          <w:rStyle w:val="Refdenotaalpie"/>
          <w:rFonts w:ascii="Times New Roman" w:hAnsi="Times New Roman"/>
          <w:sz w:val="28"/>
        </w:rPr>
        <w:footnoteReference w:id="88"/>
      </w:r>
      <w:r w:rsidRPr="00030313">
        <w:rPr>
          <w:rFonts w:ascii="Times New Roman" w:hAnsi="Times New Roman"/>
          <w:sz w:val="28"/>
        </w:rPr>
        <w:t>.</w:t>
      </w:r>
      <w:r w:rsidRPr="00030313">
        <w:rPr>
          <w:rFonts w:ascii="Times New Roman" w:hAnsi="Times New Roman"/>
          <w:sz w:val="28"/>
        </w:rPr>
        <w:t xml:space="preserve"> </w:t>
      </w:r>
      <w:r w:rsidRPr="00030313">
        <w:rPr>
          <w:rFonts w:ascii="Times New Roman" w:hAnsi="Times New Roman"/>
          <w:sz w:val="28"/>
        </w:rPr>
        <w:t>L</w:t>
      </w:r>
      <w:r w:rsidRPr="00030313">
        <w:rPr>
          <w:rFonts w:ascii="Times New Roman" w:hAnsi="Times New Roman"/>
          <w:sz w:val="28"/>
        </w:rPr>
        <w:t xml:space="preserve">a segunda </w:t>
      </w:r>
      <w:r w:rsidRPr="00030313">
        <w:rPr>
          <w:rFonts w:ascii="Times New Roman" w:hAnsi="Times New Roman"/>
          <w:sz w:val="28"/>
        </w:rPr>
        <w:t>porque</w:t>
      </w:r>
      <w:r w:rsidRPr="00030313">
        <w:rPr>
          <w:rFonts w:ascii="Times New Roman" w:hAnsi="Times New Roman"/>
          <w:sz w:val="28"/>
        </w:rPr>
        <w:t xml:space="preserve"> actualmente la entidad no cuenta con presupuesto suficiente para modernizar su sistema informático y adaptar la corrección del marcador “sexo” para el género “No Binario”, por lo c</w:t>
      </w:r>
      <w:r w:rsidRPr="00030313">
        <w:rPr>
          <w:rFonts w:ascii="Times New Roman" w:hAnsi="Times New Roman"/>
          <w:sz w:val="28"/>
        </w:rPr>
        <w:t xml:space="preserve">ual expuso que, debido a la falta de recursos para </w:t>
      </w:r>
      <w:r w:rsidRPr="00030313">
        <w:rPr>
          <w:rFonts w:ascii="Times New Roman" w:hAnsi="Times New Roman"/>
          <w:sz w:val="28"/>
        </w:rPr>
        <w:t xml:space="preserve">mejorar su sistema de información “[a] </w:t>
      </w:r>
      <w:r w:rsidRPr="00030313">
        <w:rPr>
          <w:rFonts w:ascii="Times New Roman" w:hAnsi="Times New Roman"/>
          <w:i/>
          <w:iCs/>
          <w:sz w:val="28"/>
        </w:rPr>
        <w:t>la fecha la Registraduría Nacional del Estado Civil, no ha producido ninguna cédula de ciudadanía digital que contenga cambio de sexo “NB”</w:t>
      </w:r>
      <w:r w:rsidRPr="00030313">
        <w:rPr>
          <w:rFonts w:ascii="Times New Roman" w:hAnsi="Times New Roman"/>
          <w:i/>
          <w:iCs/>
          <w:sz w:val="28"/>
        </w:rPr>
        <w:t>, se precisa que, la entidad</w:t>
      </w:r>
      <w:r w:rsidRPr="00030313">
        <w:rPr>
          <w:rFonts w:ascii="Times New Roman" w:hAnsi="Times New Roman"/>
          <w:i/>
          <w:iCs/>
          <w:sz w:val="28"/>
        </w:rPr>
        <w:t xml:space="preserve"> adelanta la modernización del sistema de información y los cambios en el componente sexo, es así como la entidad depende de la asignación de recursos presupuestales para la actualización de la plataforma tecnológica creada para la cédula digital”</w:t>
      </w:r>
      <w:r w:rsidRPr="00030313">
        <w:rPr>
          <w:rStyle w:val="Refdenotaalpie"/>
          <w:rFonts w:ascii="Times New Roman" w:hAnsi="Times New Roman"/>
          <w:sz w:val="28"/>
        </w:rPr>
        <w:footnoteReference w:id="89"/>
      </w:r>
      <w:r w:rsidRPr="00030313">
        <w:rPr>
          <w:rFonts w:ascii="Times New Roman" w:hAnsi="Times New Roman"/>
          <w:i/>
          <w:iCs/>
          <w:sz w:val="28"/>
        </w:rPr>
        <w:t>.</w:t>
      </w:r>
      <w:r w:rsidRPr="00030313">
        <w:rPr>
          <w:rFonts w:ascii="Times New Roman" w:hAnsi="Times New Roman"/>
          <w:sz w:val="28"/>
        </w:rPr>
        <w:t xml:space="preserve"> </w:t>
      </w:r>
      <w:r w:rsidRPr="00030313">
        <w:rPr>
          <w:rFonts w:ascii="Times New Roman" w:hAnsi="Times New Roman"/>
          <w:sz w:val="28"/>
        </w:rPr>
        <w:t xml:space="preserve">Finalmente, la entidad </w:t>
      </w:r>
      <w:r w:rsidRPr="00030313">
        <w:rPr>
          <w:rFonts w:ascii="Times New Roman" w:hAnsi="Times New Roman"/>
          <w:sz w:val="28"/>
        </w:rPr>
        <w:t>estimó que, a la fecha, no tenía ningún trámite de corrección de género a la categoría “No Binario” represado en su base de datos y que la persona accionante contaba con su registro civil y cédula de ciudadanía amarilla en hologramas</w:t>
      </w:r>
      <w:r w:rsidRPr="00030313">
        <w:rPr>
          <w:rFonts w:ascii="Times New Roman" w:hAnsi="Times New Roman"/>
          <w:sz w:val="28"/>
        </w:rPr>
        <w:t xml:space="preserve"> con el respectivo marcador de </w:t>
      </w:r>
      <w:r w:rsidRPr="00030313">
        <w:rPr>
          <w:rFonts w:ascii="Times New Roman" w:hAnsi="Times New Roman"/>
          <w:sz w:val="28"/>
        </w:rPr>
        <w:t xml:space="preserve">“sexo” con el género “No Binario”. </w:t>
      </w:r>
    </w:p>
    <w:p w:rsidR="002A4D55" w:rsidRPr="00030313" w:rsidRDefault="00030313" w:rsidP="00C61937">
      <w:pPr>
        <w:jc w:val="both"/>
        <w:rPr>
          <w:rFonts w:ascii="Times New Roman" w:hAnsi="Times New Roman"/>
          <w:sz w:val="28"/>
        </w:rPr>
      </w:pPr>
    </w:p>
    <w:p w:rsidR="00212106" w:rsidRPr="00030313" w:rsidRDefault="00030313" w:rsidP="00C61937">
      <w:pPr>
        <w:numPr>
          <w:ilvl w:val="0"/>
          <w:numId w:val="6"/>
        </w:numPr>
        <w:ind w:left="0" w:firstLine="0"/>
        <w:jc w:val="both"/>
        <w:rPr>
          <w:rFonts w:ascii="Times New Roman" w:hAnsi="Times New Roman"/>
          <w:sz w:val="28"/>
        </w:rPr>
      </w:pPr>
      <w:r w:rsidRPr="00030313">
        <w:rPr>
          <w:rFonts w:ascii="Times New Roman" w:hAnsi="Times New Roman"/>
          <w:sz w:val="28"/>
        </w:rPr>
        <w:t>A partir de la reiteración jurisprudencial expuesta en la parte considerativa de esta providencia, la Sala considera que</w:t>
      </w:r>
      <w:r w:rsidRPr="00030313">
        <w:rPr>
          <w:rFonts w:ascii="Times New Roman" w:hAnsi="Times New Roman"/>
          <w:sz w:val="28"/>
        </w:rPr>
        <w:t xml:space="preserve">, </w:t>
      </w:r>
      <w:r w:rsidRPr="00030313">
        <w:rPr>
          <w:rFonts w:ascii="Times New Roman" w:hAnsi="Times New Roman"/>
          <w:sz w:val="28"/>
        </w:rPr>
        <w:t>de forma coherente con la Sentencia T-033 de 2022, a la persona ac</w:t>
      </w:r>
      <w:r w:rsidRPr="00030313">
        <w:rPr>
          <w:rFonts w:ascii="Times New Roman" w:hAnsi="Times New Roman"/>
          <w:sz w:val="28"/>
        </w:rPr>
        <w:t xml:space="preserve">cionante se le realizó la corrección correspondiente a </w:t>
      </w:r>
      <w:r w:rsidRPr="00030313">
        <w:rPr>
          <w:rFonts w:ascii="Times New Roman" w:hAnsi="Times New Roman"/>
          <w:sz w:val="28"/>
        </w:rPr>
        <w:t xml:space="preserve">su identificación de género “No Binario” en su registro civil y en su cédula de ciudadanía amarilla de hologramas. </w:t>
      </w:r>
      <w:r w:rsidRPr="00030313">
        <w:rPr>
          <w:rFonts w:ascii="Times New Roman" w:hAnsi="Times New Roman"/>
          <w:sz w:val="28"/>
        </w:rPr>
        <w:t>Igualmente, su identidad de género también se ve reflejada en su pasaporte</w:t>
      </w:r>
      <w:r w:rsidRPr="00030313">
        <w:rPr>
          <w:rFonts w:ascii="Times New Roman" w:hAnsi="Times New Roman"/>
          <w:sz w:val="28"/>
        </w:rPr>
        <w:t xml:space="preserve">. </w:t>
      </w:r>
      <w:r w:rsidRPr="00030313">
        <w:rPr>
          <w:rFonts w:ascii="Times New Roman" w:hAnsi="Times New Roman"/>
          <w:sz w:val="28"/>
        </w:rPr>
        <w:t xml:space="preserve">Con esto, </w:t>
      </w:r>
      <w:r w:rsidRPr="00030313">
        <w:rPr>
          <w:rFonts w:ascii="Times New Roman" w:hAnsi="Times New Roman"/>
          <w:sz w:val="28"/>
        </w:rPr>
        <w:t>se advierte que, de manera preliminar y estrictamente no habría una afectación del derecho a la personalidad jurídica del accionante, toda vez que</w:t>
      </w:r>
      <w:r w:rsidRPr="00030313">
        <w:rPr>
          <w:rFonts w:ascii="Times New Roman" w:hAnsi="Times New Roman"/>
          <w:sz w:val="28"/>
        </w:rPr>
        <w:t xml:space="preserve"> </w:t>
      </w:r>
      <w:r w:rsidRPr="00030313">
        <w:rPr>
          <w:rFonts w:ascii="Times New Roman" w:hAnsi="Times New Roman"/>
          <w:sz w:val="28"/>
        </w:rPr>
        <w:t xml:space="preserve">la </w:t>
      </w:r>
      <w:r w:rsidRPr="00030313">
        <w:rPr>
          <w:rFonts w:ascii="Times New Roman" w:hAnsi="Times New Roman"/>
          <w:sz w:val="28"/>
        </w:rPr>
        <w:t xml:space="preserve">negativa de la Registraduría de expedir la cédula de ciudadanía digital, no priva a la persona accionante </w:t>
      </w:r>
      <w:r w:rsidRPr="00030313">
        <w:rPr>
          <w:rFonts w:ascii="Times New Roman" w:hAnsi="Times New Roman"/>
          <w:sz w:val="28"/>
        </w:rPr>
        <w:t>de un documento de identidad.</w:t>
      </w:r>
      <w:r w:rsidRPr="00030313">
        <w:rPr>
          <w:rFonts w:ascii="Times New Roman" w:hAnsi="Times New Roman"/>
          <w:sz w:val="28"/>
        </w:rPr>
        <w:t xml:space="preserve"> </w:t>
      </w:r>
      <w:r w:rsidRPr="00030313">
        <w:rPr>
          <w:rFonts w:ascii="Times New Roman" w:hAnsi="Times New Roman"/>
          <w:sz w:val="28"/>
        </w:rPr>
        <w:t xml:space="preserve">En efecto, </w:t>
      </w:r>
      <w:r w:rsidRPr="00030313">
        <w:rPr>
          <w:rFonts w:ascii="Times New Roman" w:hAnsi="Times New Roman"/>
          <w:sz w:val="28"/>
        </w:rPr>
        <w:t>según las respuestas ofrecidas por la Registraduría en sede de revisión</w:t>
      </w:r>
      <w:r w:rsidRPr="00030313">
        <w:rPr>
          <w:rFonts w:ascii="Times New Roman" w:hAnsi="Times New Roman"/>
          <w:sz w:val="28"/>
        </w:rPr>
        <w:t xml:space="preserve"> y lo expuesto en las consideraciones generales</w:t>
      </w:r>
      <w:r w:rsidRPr="00030313">
        <w:rPr>
          <w:rFonts w:ascii="Times New Roman" w:hAnsi="Times New Roman"/>
          <w:sz w:val="28"/>
        </w:rPr>
        <w:t>, no existe una distinción material y funcional entre la cédula de ciudadanía digital y la cédula</w:t>
      </w:r>
      <w:r w:rsidRPr="00030313">
        <w:rPr>
          <w:rFonts w:ascii="Times New Roman" w:hAnsi="Times New Roman"/>
          <w:sz w:val="28"/>
        </w:rPr>
        <w:t xml:space="preserve"> de ciudadanía amarilla </w:t>
      </w:r>
      <w:r w:rsidRPr="00030313">
        <w:rPr>
          <w:rFonts w:ascii="Times New Roman" w:hAnsi="Times New Roman"/>
          <w:sz w:val="28"/>
        </w:rPr>
        <w:t>con</w:t>
      </w:r>
      <w:r w:rsidRPr="00030313">
        <w:rPr>
          <w:rFonts w:ascii="Times New Roman" w:hAnsi="Times New Roman"/>
          <w:sz w:val="28"/>
        </w:rPr>
        <w:t xml:space="preserve"> hologramas</w:t>
      </w:r>
      <w:r w:rsidRPr="00030313">
        <w:rPr>
          <w:rFonts w:ascii="Times New Roman" w:hAnsi="Times New Roman"/>
          <w:sz w:val="28"/>
        </w:rPr>
        <w:t>.</w:t>
      </w:r>
      <w:r w:rsidRPr="00030313">
        <w:rPr>
          <w:rFonts w:ascii="Times New Roman" w:hAnsi="Times New Roman"/>
          <w:sz w:val="28"/>
        </w:rPr>
        <w:t xml:space="preserve"> </w:t>
      </w:r>
      <w:r w:rsidRPr="00030313">
        <w:rPr>
          <w:rFonts w:ascii="Times New Roman" w:hAnsi="Times New Roman"/>
          <w:sz w:val="28"/>
        </w:rPr>
        <w:t xml:space="preserve">La </w:t>
      </w:r>
      <w:r w:rsidRPr="00030313">
        <w:rPr>
          <w:rFonts w:ascii="Times New Roman" w:hAnsi="Times New Roman"/>
          <w:sz w:val="28"/>
        </w:rPr>
        <w:t>única diferencia es que la cédula de ciudadanía digital adquiere relevancia en el ámbito del tráfico jurídico digital</w:t>
      </w:r>
      <w:r w:rsidRPr="00030313">
        <w:rPr>
          <w:rFonts w:ascii="Times New Roman" w:hAnsi="Times New Roman"/>
          <w:sz w:val="28"/>
        </w:rPr>
        <w:t>, en tanto</w:t>
      </w:r>
      <w:r w:rsidRPr="00030313">
        <w:rPr>
          <w:rFonts w:ascii="Times New Roman" w:hAnsi="Times New Roman"/>
          <w:sz w:val="28"/>
        </w:rPr>
        <w:t xml:space="preserve"> que los ciudadanos pued</w:t>
      </w:r>
      <w:r w:rsidRPr="00030313">
        <w:rPr>
          <w:rFonts w:ascii="Times New Roman" w:hAnsi="Times New Roman"/>
          <w:sz w:val="28"/>
        </w:rPr>
        <w:t>e</w:t>
      </w:r>
      <w:r w:rsidRPr="00030313">
        <w:rPr>
          <w:rFonts w:ascii="Times New Roman" w:hAnsi="Times New Roman"/>
          <w:sz w:val="28"/>
        </w:rPr>
        <w:t xml:space="preserve">n gozar de </w:t>
      </w:r>
      <w:r w:rsidRPr="00030313">
        <w:rPr>
          <w:rFonts w:ascii="Times New Roman" w:hAnsi="Times New Roman"/>
          <w:sz w:val="28"/>
        </w:rPr>
        <w:t xml:space="preserve">seguridad informática al utilizar este tipo de herramienta. </w:t>
      </w:r>
    </w:p>
    <w:p w:rsidR="00B66E24" w:rsidRPr="00030313" w:rsidRDefault="00030313" w:rsidP="00C61937">
      <w:pPr>
        <w:jc w:val="both"/>
        <w:rPr>
          <w:rFonts w:ascii="Times New Roman" w:hAnsi="Times New Roman"/>
          <w:sz w:val="28"/>
        </w:rPr>
      </w:pPr>
    </w:p>
    <w:p w:rsidR="00163CE5" w:rsidRPr="00030313" w:rsidRDefault="00030313" w:rsidP="00C61937">
      <w:pPr>
        <w:numPr>
          <w:ilvl w:val="0"/>
          <w:numId w:val="6"/>
        </w:numPr>
        <w:ind w:left="0" w:firstLine="0"/>
        <w:jc w:val="both"/>
        <w:rPr>
          <w:rFonts w:ascii="Times New Roman" w:hAnsi="Times New Roman"/>
          <w:sz w:val="28"/>
        </w:rPr>
      </w:pPr>
      <w:r w:rsidRPr="00030313">
        <w:rPr>
          <w:rFonts w:ascii="Times New Roman" w:hAnsi="Times New Roman"/>
          <w:sz w:val="28"/>
        </w:rPr>
        <w:t xml:space="preserve">Más allá de lo anterior, </w:t>
      </w:r>
      <w:r w:rsidRPr="00030313">
        <w:rPr>
          <w:rFonts w:ascii="Times New Roman" w:hAnsi="Times New Roman"/>
          <w:sz w:val="28"/>
        </w:rPr>
        <w:t>la Sala observa que las</w:t>
      </w:r>
      <w:r w:rsidRPr="00030313">
        <w:rPr>
          <w:rFonts w:ascii="Times New Roman" w:hAnsi="Times New Roman"/>
          <w:sz w:val="28"/>
        </w:rPr>
        <w:t xml:space="preserve"> razones ofrecidas por la Registraduría Nacional del Estado Civil para negar la expedición de la cédula de ciudadanía en formato digital con el ma</w:t>
      </w:r>
      <w:r w:rsidRPr="00030313">
        <w:rPr>
          <w:rFonts w:ascii="Times New Roman" w:hAnsi="Times New Roman"/>
          <w:sz w:val="28"/>
        </w:rPr>
        <w:t xml:space="preserve">rcador no binario, </w:t>
      </w:r>
      <w:r w:rsidRPr="00030313">
        <w:rPr>
          <w:rFonts w:ascii="Times New Roman" w:hAnsi="Times New Roman"/>
          <w:sz w:val="28"/>
        </w:rPr>
        <w:t xml:space="preserve">no obedecen a fundamentos que, </w:t>
      </w:r>
      <w:r w:rsidRPr="00030313">
        <w:rPr>
          <w:rFonts w:ascii="Times New Roman" w:hAnsi="Times New Roman"/>
          <w:i/>
          <w:iCs/>
          <w:sz w:val="28"/>
        </w:rPr>
        <w:t>prima facie</w:t>
      </w:r>
      <w:r w:rsidRPr="00030313">
        <w:rPr>
          <w:rFonts w:ascii="Times New Roman" w:hAnsi="Times New Roman"/>
          <w:sz w:val="28"/>
        </w:rPr>
        <w:t xml:space="preserve">, sean discriminatorios. Primero, la interpretación según la cual, a juicio de la Registraduría, solo la cédula amarilla de hologramas es la que debe </w:t>
      </w:r>
      <w:r w:rsidRPr="00030313">
        <w:rPr>
          <w:rFonts w:ascii="Times New Roman" w:hAnsi="Times New Roman"/>
          <w:sz w:val="28"/>
        </w:rPr>
        <w:t xml:space="preserve">tener el marcador no binario </w:t>
      </w:r>
      <w:r w:rsidRPr="00030313">
        <w:rPr>
          <w:rFonts w:ascii="Times New Roman" w:hAnsi="Times New Roman"/>
          <w:sz w:val="28"/>
        </w:rPr>
        <w:t>no fue soportada</w:t>
      </w:r>
      <w:r w:rsidRPr="00030313">
        <w:rPr>
          <w:rFonts w:ascii="Times New Roman" w:hAnsi="Times New Roman"/>
          <w:sz w:val="28"/>
        </w:rPr>
        <w:t xml:space="preserve"> con argumentos basados en razones de género o que </w:t>
      </w:r>
      <w:r w:rsidRPr="00030313">
        <w:rPr>
          <w:rFonts w:ascii="Times New Roman" w:hAnsi="Times New Roman"/>
          <w:sz w:val="28"/>
        </w:rPr>
        <w:t xml:space="preserve">contemplaran </w:t>
      </w:r>
      <w:r w:rsidRPr="00030313">
        <w:rPr>
          <w:rFonts w:ascii="Times New Roman" w:hAnsi="Times New Roman"/>
          <w:sz w:val="28"/>
        </w:rPr>
        <w:t xml:space="preserve">algún prejuicio </w:t>
      </w:r>
      <w:r w:rsidRPr="00030313">
        <w:rPr>
          <w:rFonts w:ascii="Times New Roman" w:hAnsi="Times New Roman"/>
          <w:sz w:val="28"/>
        </w:rPr>
        <w:t xml:space="preserve">sobre el tema </w:t>
      </w:r>
      <w:r w:rsidRPr="00030313">
        <w:rPr>
          <w:rFonts w:ascii="Times New Roman" w:hAnsi="Times New Roman"/>
          <w:i/>
          <w:iCs/>
          <w:sz w:val="28"/>
        </w:rPr>
        <w:t xml:space="preserve">sub examine. </w:t>
      </w:r>
      <w:r w:rsidRPr="00030313">
        <w:rPr>
          <w:rFonts w:ascii="Times New Roman" w:hAnsi="Times New Roman"/>
          <w:sz w:val="28"/>
        </w:rPr>
        <w:t xml:space="preserve">Segundo, la razón relativa a la falta de presupuesto por parte de la Registraduría, tampoco </w:t>
      </w:r>
      <w:r w:rsidRPr="00030313">
        <w:rPr>
          <w:rFonts w:ascii="Times New Roman" w:hAnsi="Times New Roman"/>
          <w:sz w:val="28"/>
        </w:rPr>
        <w:t xml:space="preserve">se traduce en un trato discriminatorio contra la persona </w:t>
      </w:r>
      <w:r w:rsidRPr="00030313">
        <w:rPr>
          <w:rFonts w:ascii="Times New Roman" w:hAnsi="Times New Roman"/>
          <w:sz w:val="28"/>
        </w:rPr>
        <w:t>accionante, pues, según lo aportado por la accionada, su falta de recursos para introducir el marcador de sexo no binario en la cédula de ciudadanía digital, obedece a un asunto netamente presupuestal que ni siquiera depende estrictamente de la Registradur</w:t>
      </w:r>
      <w:r w:rsidRPr="00030313">
        <w:rPr>
          <w:rFonts w:ascii="Times New Roman" w:hAnsi="Times New Roman"/>
          <w:sz w:val="28"/>
        </w:rPr>
        <w:t xml:space="preserve">ía. En consecuencia, no sería acertado concluir que la Registraduría obró </w:t>
      </w:r>
      <w:r w:rsidRPr="00030313">
        <w:rPr>
          <w:rFonts w:ascii="Times New Roman" w:hAnsi="Times New Roman"/>
          <w:sz w:val="28"/>
        </w:rPr>
        <w:t>de forma discriminatoria contra la persona afectada. Sin embargo, lo cierto es que la consecuencia material del trato ofrecido por la Registraduría, sí ocasion</w:t>
      </w:r>
      <w:r w:rsidRPr="00030313">
        <w:rPr>
          <w:rFonts w:ascii="Times New Roman" w:hAnsi="Times New Roman"/>
          <w:sz w:val="28"/>
        </w:rPr>
        <w:t>ó</w:t>
      </w:r>
      <w:r w:rsidRPr="00030313">
        <w:rPr>
          <w:rFonts w:ascii="Times New Roman" w:hAnsi="Times New Roman"/>
          <w:sz w:val="28"/>
        </w:rPr>
        <w:t xml:space="preserve"> </w:t>
      </w:r>
      <w:r w:rsidRPr="00030313">
        <w:rPr>
          <w:rFonts w:ascii="Times New Roman" w:hAnsi="Times New Roman"/>
          <w:sz w:val="28"/>
        </w:rPr>
        <w:t>una realidad desigual</w:t>
      </w:r>
      <w:r w:rsidRPr="00030313">
        <w:rPr>
          <w:rFonts w:ascii="Times New Roman" w:hAnsi="Times New Roman"/>
          <w:sz w:val="28"/>
        </w:rPr>
        <w:t xml:space="preserve"> para la persona no binaria que solicitó la cédula de ciudadanía digital con el marcador que la identificaría como tal, respecto de una persona </w:t>
      </w:r>
      <w:r w:rsidRPr="00030313">
        <w:rPr>
          <w:rFonts w:ascii="Times New Roman" w:hAnsi="Times New Roman"/>
          <w:sz w:val="28"/>
        </w:rPr>
        <w:t>que se identifica con algún género de naturaleza binaria</w:t>
      </w:r>
      <w:r w:rsidRPr="00030313">
        <w:rPr>
          <w:rFonts w:ascii="Times New Roman" w:hAnsi="Times New Roman"/>
          <w:sz w:val="28"/>
        </w:rPr>
        <w:t xml:space="preserve"> y solicita el mismo documento de identidad con el mismo</w:t>
      </w:r>
      <w:r w:rsidRPr="00030313">
        <w:rPr>
          <w:rFonts w:ascii="Times New Roman" w:hAnsi="Times New Roman"/>
          <w:sz w:val="28"/>
        </w:rPr>
        <w:t xml:space="preserve"> formato a la misma entidad pública.</w:t>
      </w:r>
    </w:p>
    <w:p w:rsidR="00DF6287" w:rsidRPr="00030313" w:rsidRDefault="00030313" w:rsidP="00C61937">
      <w:pPr>
        <w:jc w:val="both"/>
        <w:rPr>
          <w:rFonts w:ascii="Times New Roman" w:hAnsi="Times New Roman"/>
          <w:sz w:val="28"/>
        </w:rPr>
      </w:pPr>
    </w:p>
    <w:p w:rsidR="00D63A24" w:rsidRPr="00030313" w:rsidRDefault="00030313" w:rsidP="00C61937">
      <w:pPr>
        <w:numPr>
          <w:ilvl w:val="0"/>
          <w:numId w:val="6"/>
        </w:numPr>
        <w:ind w:left="0" w:firstLine="0"/>
        <w:jc w:val="both"/>
        <w:rPr>
          <w:rFonts w:ascii="Times New Roman" w:hAnsi="Times New Roman"/>
          <w:sz w:val="28"/>
        </w:rPr>
      </w:pPr>
      <w:r w:rsidRPr="00030313">
        <w:rPr>
          <w:rFonts w:ascii="Times New Roman" w:hAnsi="Times New Roman"/>
          <w:sz w:val="28"/>
        </w:rPr>
        <w:t>A su turno, e</w:t>
      </w:r>
      <w:r w:rsidRPr="00030313">
        <w:rPr>
          <w:rFonts w:ascii="Times New Roman" w:hAnsi="Times New Roman"/>
          <w:sz w:val="28"/>
        </w:rPr>
        <w:t>n reiteradas oportunidades, la Corte Constitucional ha sostenido que “</w:t>
      </w:r>
      <w:r w:rsidRPr="00030313">
        <w:rPr>
          <w:rFonts w:ascii="Times New Roman" w:hAnsi="Times New Roman"/>
          <w:i/>
          <w:iCs/>
          <w:sz w:val="28"/>
        </w:rPr>
        <w:t xml:space="preserve">todas las autoridades públicas, de carácter administrativo o judicial, de cualquier orden, nacional </w:t>
      </w:r>
      <w:r w:rsidRPr="00030313">
        <w:rPr>
          <w:rFonts w:ascii="Times New Roman" w:hAnsi="Times New Roman"/>
          <w:i/>
          <w:iCs/>
          <w:sz w:val="28"/>
        </w:rPr>
        <w:t>o judicial</w:t>
      </w:r>
      <w:r w:rsidRPr="00030313">
        <w:rPr>
          <w:rFonts w:ascii="Times New Roman" w:hAnsi="Times New Roman"/>
          <w:i/>
          <w:iCs/>
          <w:sz w:val="28"/>
        </w:rPr>
        <w:t>, de cualquier orden</w:t>
      </w:r>
      <w:r w:rsidRPr="00030313">
        <w:rPr>
          <w:rFonts w:ascii="Times New Roman" w:hAnsi="Times New Roman"/>
          <w:i/>
          <w:iCs/>
          <w:sz w:val="28"/>
        </w:rPr>
        <w:t xml:space="preserve">, </w:t>
      </w:r>
      <w:r w:rsidRPr="00030313">
        <w:rPr>
          <w:rFonts w:ascii="Times New Roman" w:hAnsi="Times New Roman"/>
          <w:i/>
          <w:iCs/>
          <w:sz w:val="28"/>
        </w:rPr>
        <w:t>nacional, regional o local, se encuentran sometidas a la Constitución y a la ley, y que como parte de esa sujeción, las autoridades administrativas se encuentran obligadas a acatar el precedente judicial dictado por las Altas Cortes de la jurisdicción ordi</w:t>
      </w:r>
      <w:r w:rsidRPr="00030313">
        <w:rPr>
          <w:rFonts w:ascii="Times New Roman" w:hAnsi="Times New Roman"/>
          <w:i/>
          <w:iCs/>
          <w:sz w:val="28"/>
        </w:rPr>
        <w:t>naria, contencioso administrativa y constitucional”</w:t>
      </w:r>
      <w:r w:rsidRPr="00030313">
        <w:rPr>
          <w:rStyle w:val="Refdenotaalpie"/>
          <w:rFonts w:ascii="Times New Roman" w:hAnsi="Times New Roman"/>
          <w:sz w:val="28"/>
        </w:rPr>
        <w:footnoteReference w:id="90"/>
      </w:r>
      <w:r w:rsidRPr="00030313">
        <w:rPr>
          <w:rFonts w:ascii="Times New Roman" w:hAnsi="Times New Roman"/>
          <w:i/>
          <w:iCs/>
          <w:sz w:val="28"/>
        </w:rPr>
        <w:t>.</w:t>
      </w:r>
      <w:r w:rsidRPr="00030313">
        <w:rPr>
          <w:rFonts w:ascii="Times New Roman" w:hAnsi="Times New Roman"/>
          <w:sz w:val="28"/>
        </w:rPr>
        <w:t xml:space="preserve"> </w:t>
      </w:r>
      <w:r w:rsidRPr="00030313">
        <w:rPr>
          <w:rFonts w:ascii="Times New Roman" w:hAnsi="Times New Roman"/>
          <w:sz w:val="28"/>
        </w:rPr>
        <w:t>En esta medida</w:t>
      </w:r>
      <w:r w:rsidRPr="00030313">
        <w:rPr>
          <w:rFonts w:ascii="Times New Roman" w:hAnsi="Times New Roman"/>
          <w:sz w:val="28"/>
        </w:rPr>
        <w:t xml:space="preserve">, al omitir la introducción del marcador de género “No Binario” en la cédula de ciudadanía digital, la Registraduría </w:t>
      </w:r>
      <w:r w:rsidRPr="00030313">
        <w:rPr>
          <w:rFonts w:ascii="Times New Roman" w:hAnsi="Times New Roman"/>
          <w:sz w:val="28"/>
        </w:rPr>
        <w:t>contravino el precedente judicial de esta Corporación establecido en la</w:t>
      </w:r>
      <w:r w:rsidRPr="00030313">
        <w:rPr>
          <w:rFonts w:ascii="Times New Roman" w:hAnsi="Times New Roman"/>
          <w:sz w:val="28"/>
        </w:rPr>
        <w:t xml:space="preserve"> Sentencia T-033 de 2022. </w:t>
      </w:r>
      <w:r w:rsidRPr="00030313">
        <w:rPr>
          <w:rFonts w:ascii="Times New Roman" w:hAnsi="Times New Roman"/>
          <w:sz w:val="28"/>
        </w:rPr>
        <w:t xml:space="preserve">Con relación al argumento presupuestal, ello no puede ser óbice para que una entidad pública imponga barreras para la satisfacción de los derechos </w:t>
      </w:r>
      <w:r w:rsidRPr="00030313">
        <w:rPr>
          <w:rFonts w:ascii="Times New Roman" w:hAnsi="Times New Roman"/>
          <w:i/>
          <w:iCs/>
          <w:sz w:val="28"/>
        </w:rPr>
        <w:t xml:space="preserve">iusfundamentales </w:t>
      </w:r>
      <w:r w:rsidRPr="00030313">
        <w:rPr>
          <w:rFonts w:ascii="Times New Roman" w:hAnsi="Times New Roman"/>
          <w:sz w:val="28"/>
        </w:rPr>
        <w:t>de las personas, menos aún cuando se trata de sujeto</w:t>
      </w:r>
      <w:r w:rsidRPr="00030313">
        <w:rPr>
          <w:rFonts w:ascii="Times New Roman" w:hAnsi="Times New Roman"/>
          <w:sz w:val="28"/>
        </w:rPr>
        <w:t>s a los cuales</w:t>
      </w:r>
      <w:r w:rsidRPr="00030313">
        <w:rPr>
          <w:rFonts w:ascii="Times New Roman" w:hAnsi="Times New Roman"/>
          <w:sz w:val="28"/>
        </w:rPr>
        <w:t xml:space="preserve"> se refiere el inciso 1 del artículo 13 de la Constitución Política, en tanto el Estado tiene una obligación de garantizar el derecho a la igualdad formal y material </w:t>
      </w:r>
      <w:r w:rsidRPr="00030313">
        <w:rPr>
          <w:rFonts w:ascii="Times New Roman" w:hAnsi="Times New Roman"/>
          <w:sz w:val="28"/>
        </w:rPr>
        <w:t xml:space="preserve">de todos los destinatarios de una norma. </w:t>
      </w:r>
    </w:p>
    <w:p w:rsidR="00FA74FA" w:rsidRPr="00030313" w:rsidRDefault="00030313" w:rsidP="00C61937">
      <w:pPr>
        <w:jc w:val="both"/>
        <w:rPr>
          <w:rFonts w:ascii="Times New Roman" w:hAnsi="Times New Roman"/>
          <w:sz w:val="28"/>
        </w:rPr>
      </w:pPr>
    </w:p>
    <w:p w:rsidR="00F15AC7" w:rsidRPr="00030313" w:rsidRDefault="00030313" w:rsidP="00C61937">
      <w:pPr>
        <w:numPr>
          <w:ilvl w:val="0"/>
          <w:numId w:val="6"/>
        </w:numPr>
        <w:ind w:left="0" w:firstLine="0"/>
        <w:jc w:val="both"/>
        <w:rPr>
          <w:rFonts w:ascii="Times New Roman" w:hAnsi="Times New Roman"/>
          <w:sz w:val="28"/>
        </w:rPr>
      </w:pPr>
      <w:r w:rsidRPr="00030313">
        <w:rPr>
          <w:rFonts w:ascii="Times New Roman" w:hAnsi="Times New Roman"/>
          <w:sz w:val="28"/>
        </w:rPr>
        <w:t>Con fundamento en lo expuesto, la Sala Quinta d</w:t>
      </w:r>
      <w:r w:rsidRPr="00030313">
        <w:rPr>
          <w:rFonts w:ascii="Times New Roman" w:hAnsi="Times New Roman"/>
          <w:sz w:val="28"/>
        </w:rPr>
        <w:t>e Revisión considera que</w:t>
      </w:r>
      <w:r w:rsidRPr="00030313">
        <w:rPr>
          <w:rFonts w:ascii="Times New Roman" w:hAnsi="Times New Roman"/>
          <w:sz w:val="28"/>
        </w:rPr>
        <w:t xml:space="preserve">, si bien preliminarmente la Registraduría no obró de manera </w:t>
      </w:r>
      <w:r w:rsidRPr="00030313">
        <w:rPr>
          <w:rFonts w:ascii="Times New Roman" w:hAnsi="Times New Roman"/>
          <w:sz w:val="28"/>
        </w:rPr>
        <w:t xml:space="preserve">dolosamente </w:t>
      </w:r>
      <w:r w:rsidRPr="00030313">
        <w:rPr>
          <w:rFonts w:ascii="Times New Roman" w:hAnsi="Times New Roman"/>
          <w:sz w:val="28"/>
        </w:rPr>
        <w:t xml:space="preserve">discriminatoria </w:t>
      </w:r>
      <w:r w:rsidRPr="00030313">
        <w:rPr>
          <w:rFonts w:ascii="Times New Roman" w:hAnsi="Times New Roman"/>
          <w:sz w:val="28"/>
        </w:rPr>
        <w:t>contra la persona accionante, la consecuencia material de su actuar, se tradujo en un trato diferenciado que ubicó a la persona a</w:t>
      </w:r>
      <w:r w:rsidRPr="00030313">
        <w:rPr>
          <w:rFonts w:ascii="Times New Roman" w:hAnsi="Times New Roman"/>
          <w:sz w:val="28"/>
        </w:rPr>
        <w:t>fectada</w:t>
      </w:r>
      <w:r w:rsidRPr="00030313">
        <w:rPr>
          <w:rFonts w:ascii="Times New Roman" w:hAnsi="Times New Roman"/>
          <w:sz w:val="28"/>
        </w:rPr>
        <w:t xml:space="preserve"> en una</w:t>
      </w:r>
      <w:r w:rsidRPr="00030313">
        <w:rPr>
          <w:rFonts w:ascii="Times New Roman" w:hAnsi="Times New Roman"/>
          <w:sz w:val="28"/>
        </w:rPr>
        <w:t xml:space="preserve"> posición de desventaja respecto de las personas que se identifican como binarias y que, actualmente, sí pueden acceder a la expedición de la cédula de ciudadanía en formato digital.</w:t>
      </w:r>
      <w:r w:rsidRPr="00030313">
        <w:rPr>
          <w:rFonts w:ascii="Times New Roman" w:hAnsi="Times New Roman"/>
          <w:sz w:val="28"/>
        </w:rPr>
        <w:t xml:space="preserve"> Ello, en tanto </w:t>
      </w:r>
      <w:r w:rsidRPr="00030313">
        <w:rPr>
          <w:rFonts w:ascii="Times New Roman" w:hAnsi="Times New Roman"/>
          <w:sz w:val="28"/>
        </w:rPr>
        <w:t>la entidad no expuso razones jurídicas, objetivas o técnic</w:t>
      </w:r>
      <w:r w:rsidRPr="00030313">
        <w:rPr>
          <w:rFonts w:ascii="Times New Roman" w:hAnsi="Times New Roman"/>
          <w:sz w:val="28"/>
        </w:rPr>
        <w:t>as, que respondieran al porqué, a la fecha, no expide cédulas de ciudadanía digital a las personas que se identifican como no binarias</w:t>
      </w:r>
      <w:r w:rsidRPr="00030313">
        <w:rPr>
          <w:rFonts w:ascii="Times New Roman" w:hAnsi="Times New Roman"/>
          <w:sz w:val="28"/>
        </w:rPr>
        <w:t xml:space="preserve">, a pesar del pronunciamiento judicial de la Corte Constitucional por medio de la Sentencia T-033 de 2022 </w:t>
      </w:r>
      <w:r w:rsidRPr="00030313">
        <w:rPr>
          <w:rFonts w:ascii="Times New Roman" w:hAnsi="Times New Roman"/>
          <w:sz w:val="28"/>
        </w:rPr>
        <w:t xml:space="preserve">en el cual </w:t>
      </w:r>
      <w:r w:rsidRPr="00030313">
        <w:rPr>
          <w:rFonts w:ascii="Times New Roman" w:hAnsi="Times New Roman"/>
          <w:sz w:val="28"/>
        </w:rPr>
        <w:t>refirió</w:t>
      </w:r>
      <w:r w:rsidRPr="00030313">
        <w:rPr>
          <w:rFonts w:ascii="Times New Roman" w:hAnsi="Times New Roman"/>
          <w:sz w:val="28"/>
        </w:rPr>
        <w:t xml:space="preserve"> la importancia de introducir el marcador de sexo “No Binario” en el registro civil y la cédula de ciudadanía. </w:t>
      </w:r>
      <w:r w:rsidRPr="00030313">
        <w:rPr>
          <w:rFonts w:ascii="Times New Roman" w:hAnsi="Times New Roman"/>
          <w:sz w:val="28"/>
        </w:rPr>
        <w:t>Para la Sala, no hay razones por las cuales la aplicación de dicho marcador, solo deba operar respecto de la cédula de ciudadanía en su fo</w:t>
      </w:r>
      <w:r w:rsidRPr="00030313">
        <w:rPr>
          <w:rFonts w:ascii="Times New Roman" w:hAnsi="Times New Roman"/>
          <w:sz w:val="28"/>
        </w:rPr>
        <w:t xml:space="preserve">rmato </w:t>
      </w:r>
      <w:r w:rsidRPr="00030313">
        <w:rPr>
          <w:rFonts w:ascii="Times New Roman" w:hAnsi="Times New Roman"/>
          <w:sz w:val="28"/>
        </w:rPr>
        <w:t xml:space="preserve">físico </w:t>
      </w:r>
      <w:r w:rsidRPr="00030313">
        <w:rPr>
          <w:rFonts w:ascii="Times New Roman" w:hAnsi="Times New Roman"/>
          <w:sz w:val="28"/>
        </w:rPr>
        <w:t xml:space="preserve">y no respecto de su formato digital. </w:t>
      </w:r>
    </w:p>
    <w:p w:rsidR="00196B89" w:rsidRPr="00030313" w:rsidRDefault="00030313" w:rsidP="00C61937">
      <w:pPr>
        <w:jc w:val="both"/>
        <w:rPr>
          <w:rFonts w:ascii="Times New Roman" w:hAnsi="Times New Roman"/>
          <w:sz w:val="28"/>
        </w:rPr>
      </w:pPr>
    </w:p>
    <w:p w:rsidR="00196B89" w:rsidRPr="00030313" w:rsidRDefault="00030313" w:rsidP="00C61937">
      <w:pPr>
        <w:numPr>
          <w:ilvl w:val="0"/>
          <w:numId w:val="6"/>
        </w:numPr>
        <w:ind w:left="0" w:firstLine="0"/>
        <w:jc w:val="both"/>
        <w:rPr>
          <w:rFonts w:ascii="Times New Roman" w:hAnsi="Times New Roman"/>
          <w:sz w:val="28"/>
        </w:rPr>
      </w:pPr>
      <w:r w:rsidRPr="00030313">
        <w:rPr>
          <w:rFonts w:ascii="Times New Roman" w:hAnsi="Times New Roman"/>
          <w:sz w:val="28"/>
        </w:rPr>
        <w:t>Aunado a lo expuesto,</w:t>
      </w:r>
      <w:r w:rsidRPr="00030313">
        <w:rPr>
          <w:rFonts w:ascii="Times New Roman" w:hAnsi="Times New Roman"/>
          <w:sz w:val="28"/>
        </w:rPr>
        <w:t xml:space="preserve"> el sustento de límite </w:t>
      </w:r>
      <w:r w:rsidRPr="00030313">
        <w:rPr>
          <w:rFonts w:ascii="Times New Roman" w:hAnsi="Times New Roman"/>
          <w:sz w:val="28"/>
        </w:rPr>
        <w:t>presupuestal ofrecid</w:t>
      </w:r>
      <w:r w:rsidRPr="00030313">
        <w:rPr>
          <w:rFonts w:ascii="Times New Roman" w:hAnsi="Times New Roman"/>
          <w:sz w:val="28"/>
        </w:rPr>
        <w:t>o</w:t>
      </w:r>
      <w:r w:rsidRPr="00030313">
        <w:rPr>
          <w:rFonts w:ascii="Times New Roman" w:hAnsi="Times New Roman"/>
          <w:sz w:val="28"/>
        </w:rPr>
        <w:t xml:space="preserve"> por la accionada para justificar su </w:t>
      </w:r>
      <w:r w:rsidRPr="00030313">
        <w:rPr>
          <w:rFonts w:ascii="Times New Roman" w:hAnsi="Times New Roman"/>
          <w:sz w:val="28"/>
        </w:rPr>
        <w:t xml:space="preserve">omisión, </w:t>
      </w:r>
      <w:r w:rsidRPr="00030313">
        <w:rPr>
          <w:rFonts w:ascii="Times New Roman" w:hAnsi="Times New Roman"/>
          <w:sz w:val="28"/>
        </w:rPr>
        <w:t>si bien</w:t>
      </w:r>
      <w:r w:rsidRPr="00030313">
        <w:rPr>
          <w:rFonts w:ascii="Times New Roman" w:hAnsi="Times New Roman"/>
          <w:sz w:val="28"/>
        </w:rPr>
        <w:t xml:space="preserve"> es un asunto relevante,</w:t>
      </w:r>
      <w:r w:rsidRPr="00030313">
        <w:rPr>
          <w:rFonts w:ascii="Times New Roman" w:hAnsi="Times New Roman"/>
          <w:sz w:val="28"/>
        </w:rPr>
        <w:t xml:space="preserve"> no </w:t>
      </w:r>
      <w:r w:rsidRPr="00030313">
        <w:rPr>
          <w:rFonts w:ascii="Times New Roman" w:hAnsi="Times New Roman"/>
          <w:sz w:val="28"/>
        </w:rPr>
        <w:t xml:space="preserve">es una razón </w:t>
      </w:r>
      <w:r w:rsidRPr="00030313">
        <w:rPr>
          <w:rFonts w:ascii="Times New Roman" w:hAnsi="Times New Roman"/>
          <w:sz w:val="28"/>
        </w:rPr>
        <w:t>suficiente para excusar</w:t>
      </w:r>
      <w:r w:rsidRPr="00030313">
        <w:rPr>
          <w:rFonts w:ascii="Times New Roman" w:hAnsi="Times New Roman"/>
          <w:sz w:val="28"/>
        </w:rPr>
        <w:t xml:space="preserve"> un</w:t>
      </w:r>
      <w:r w:rsidRPr="00030313">
        <w:rPr>
          <w:rFonts w:ascii="Times New Roman" w:hAnsi="Times New Roman"/>
          <w:sz w:val="28"/>
        </w:rPr>
        <w:t>a omisión que ocasi</w:t>
      </w:r>
      <w:r w:rsidRPr="00030313">
        <w:rPr>
          <w:rFonts w:ascii="Times New Roman" w:hAnsi="Times New Roman"/>
          <w:sz w:val="28"/>
        </w:rPr>
        <w:t>onó un trato diferenciado</w:t>
      </w:r>
      <w:r w:rsidRPr="00030313">
        <w:rPr>
          <w:rFonts w:ascii="Times New Roman" w:hAnsi="Times New Roman"/>
          <w:sz w:val="28"/>
        </w:rPr>
        <w:t xml:space="preserve"> a una persona que, además, pertenece a una comunidad que ha sido históricamente</w:t>
      </w:r>
      <w:r w:rsidRPr="00030313">
        <w:rPr>
          <w:rFonts w:ascii="Times New Roman" w:hAnsi="Times New Roman"/>
          <w:sz w:val="28"/>
        </w:rPr>
        <w:t xml:space="preserve"> discriminada. </w:t>
      </w:r>
      <w:r w:rsidRPr="00030313">
        <w:rPr>
          <w:rFonts w:ascii="Times New Roman" w:hAnsi="Times New Roman"/>
          <w:sz w:val="28"/>
        </w:rPr>
        <w:t xml:space="preserve"> </w:t>
      </w:r>
      <w:r w:rsidRPr="00030313">
        <w:rPr>
          <w:rFonts w:ascii="Times New Roman" w:hAnsi="Times New Roman"/>
          <w:sz w:val="28"/>
        </w:rPr>
        <w:t xml:space="preserve">Además, es obligación constitucional y legal de la Registraduría </w:t>
      </w:r>
      <w:r w:rsidRPr="00030313">
        <w:rPr>
          <w:rFonts w:ascii="Times New Roman" w:hAnsi="Times New Roman"/>
          <w:sz w:val="28"/>
        </w:rPr>
        <w:t>realizar el respectivo registro civil y expedir la cédula de ciudadaní</w:t>
      </w:r>
      <w:r w:rsidRPr="00030313">
        <w:rPr>
          <w:rFonts w:ascii="Times New Roman" w:hAnsi="Times New Roman"/>
          <w:sz w:val="28"/>
        </w:rPr>
        <w:t>a correspondiente, sin que la carga presupuestal para dicha función se le traslade a los ciudadanos que tienen derecho a acceder a sus documentos de identificación</w:t>
      </w:r>
      <w:r w:rsidRPr="00030313">
        <w:rPr>
          <w:rStyle w:val="Refdenotaalpie"/>
          <w:rFonts w:ascii="Times New Roman" w:hAnsi="Times New Roman"/>
          <w:sz w:val="28"/>
        </w:rPr>
        <w:footnoteReference w:id="91"/>
      </w:r>
      <w:r w:rsidRPr="00030313">
        <w:rPr>
          <w:rFonts w:ascii="Times New Roman" w:hAnsi="Times New Roman"/>
          <w:sz w:val="28"/>
        </w:rPr>
        <w:t>.</w:t>
      </w:r>
      <w:r w:rsidRPr="00030313">
        <w:rPr>
          <w:rFonts w:ascii="Times New Roman" w:hAnsi="Times New Roman"/>
          <w:sz w:val="28"/>
        </w:rPr>
        <w:t xml:space="preserve"> </w:t>
      </w:r>
    </w:p>
    <w:p w:rsidR="004E2911" w:rsidRPr="00030313" w:rsidRDefault="00030313" w:rsidP="00C61937">
      <w:pPr>
        <w:jc w:val="both"/>
        <w:rPr>
          <w:rFonts w:ascii="Times New Roman" w:hAnsi="Times New Roman"/>
          <w:sz w:val="28"/>
        </w:rPr>
      </w:pPr>
    </w:p>
    <w:p w:rsidR="002011C1" w:rsidRPr="00030313" w:rsidRDefault="00030313" w:rsidP="00C61937">
      <w:pPr>
        <w:numPr>
          <w:ilvl w:val="0"/>
          <w:numId w:val="6"/>
        </w:numPr>
        <w:ind w:left="0" w:firstLine="0"/>
        <w:jc w:val="both"/>
        <w:rPr>
          <w:rFonts w:ascii="Times New Roman" w:hAnsi="Times New Roman"/>
          <w:sz w:val="28"/>
        </w:rPr>
      </w:pPr>
      <w:r w:rsidRPr="00030313">
        <w:rPr>
          <w:rFonts w:ascii="Times New Roman" w:hAnsi="Times New Roman"/>
          <w:sz w:val="28"/>
        </w:rPr>
        <w:t xml:space="preserve">Al </w:t>
      </w:r>
      <w:r w:rsidRPr="00030313">
        <w:rPr>
          <w:rFonts w:ascii="Times New Roman" w:hAnsi="Times New Roman"/>
          <w:sz w:val="28"/>
        </w:rPr>
        <w:t>concluir que la entidad vulneró el derecho a la igualdad de la persona accionante, po</w:t>
      </w:r>
      <w:r w:rsidRPr="00030313">
        <w:rPr>
          <w:rFonts w:ascii="Times New Roman" w:hAnsi="Times New Roman"/>
          <w:sz w:val="28"/>
        </w:rPr>
        <w:t>r conexidad, la entidad también vulneró su</w:t>
      </w:r>
      <w:r w:rsidRPr="00030313">
        <w:rPr>
          <w:rFonts w:ascii="Times New Roman" w:hAnsi="Times New Roman"/>
          <w:sz w:val="28"/>
        </w:rPr>
        <w:t>s</w:t>
      </w:r>
      <w:r w:rsidRPr="00030313">
        <w:rPr>
          <w:rFonts w:ascii="Times New Roman" w:hAnsi="Times New Roman"/>
          <w:sz w:val="28"/>
        </w:rPr>
        <w:t xml:space="preserve"> derecho</w:t>
      </w:r>
      <w:r w:rsidRPr="00030313">
        <w:rPr>
          <w:rFonts w:ascii="Times New Roman" w:hAnsi="Times New Roman"/>
          <w:sz w:val="28"/>
        </w:rPr>
        <w:t>s</w:t>
      </w:r>
      <w:r w:rsidRPr="00030313">
        <w:rPr>
          <w:rFonts w:ascii="Times New Roman" w:hAnsi="Times New Roman"/>
          <w:sz w:val="28"/>
        </w:rPr>
        <w:t xml:space="preserve"> fundamental</w:t>
      </w:r>
      <w:r w:rsidRPr="00030313">
        <w:rPr>
          <w:rFonts w:ascii="Times New Roman" w:hAnsi="Times New Roman"/>
          <w:sz w:val="28"/>
        </w:rPr>
        <w:t>es</w:t>
      </w:r>
      <w:r w:rsidRPr="00030313">
        <w:rPr>
          <w:rFonts w:ascii="Times New Roman" w:hAnsi="Times New Roman"/>
          <w:sz w:val="28"/>
        </w:rPr>
        <w:t xml:space="preserve"> al libre desarrollo de la personalidad</w:t>
      </w:r>
      <w:r w:rsidRPr="00030313">
        <w:rPr>
          <w:rFonts w:ascii="Times New Roman" w:hAnsi="Times New Roman"/>
          <w:sz w:val="28"/>
        </w:rPr>
        <w:t xml:space="preserve"> y a la identidad de género</w:t>
      </w:r>
      <w:r w:rsidRPr="00030313">
        <w:rPr>
          <w:rFonts w:ascii="Times New Roman" w:hAnsi="Times New Roman"/>
          <w:sz w:val="28"/>
        </w:rPr>
        <w:t xml:space="preserve"> en su faceta de reconocimiento jurídico</w:t>
      </w:r>
      <w:r w:rsidRPr="00030313">
        <w:rPr>
          <w:rFonts w:ascii="Times New Roman" w:hAnsi="Times New Roman"/>
          <w:sz w:val="28"/>
        </w:rPr>
        <w:t xml:space="preserve">. </w:t>
      </w:r>
      <w:r w:rsidRPr="00030313">
        <w:rPr>
          <w:rFonts w:ascii="Times New Roman" w:hAnsi="Times New Roman"/>
          <w:sz w:val="28"/>
        </w:rPr>
        <w:t xml:space="preserve">Como se explicó en esta providencia, </w:t>
      </w:r>
      <w:r w:rsidRPr="00030313">
        <w:rPr>
          <w:rFonts w:ascii="Times New Roman" w:hAnsi="Times New Roman"/>
          <w:sz w:val="28"/>
        </w:rPr>
        <w:t xml:space="preserve">el libre desarrollo de la personalidad implica, a su vez, que las personas puedan autodeterminarse de forma libre con la identidad de género que </w:t>
      </w:r>
      <w:r w:rsidRPr="00030313">
        <w:rPr>
          <w:rFonts w:ascii="Times New Roman" w:hAnsi="Times New Roman"/>
          <w:sz w:val="28"/>
        </w:rPr>
        <w:t>d</w:t>
      </w:r>
      <w:r w:rsidRPr="00030313">
        <w:rPr>
          <w:rFonts w:ascii="Times New Roman" w:hAnsi="Times New Roman"/>
          <w:sz w:val="28"/>
        </w:rPr>
        <w:t xml:space="preserve">esee. </w:t>
      </w:r>
      <w:r w:rsidRPr="00030313">
        <w:rPr>
          <w:rFonts w:ascii="Times New Roman" w:hAnsi="Times New Roman"/>
          <w:sz w:val="28"/>
        </w:rPr>
        <w:t>En consecuencia, al no poder hacer ejercicio de forma igualitaria al libre desarrollo de la personalidad</w:t>
      </w:r>
      <w:r w:rsidRPr="00030313">
        <w:rPr>
          <w:rFonts w:ascii="Times New Roman" w:hAnsi="Times New Roman"/>
          <w:sz w:val="28"/>
        </w:rPr>
        <w:t>, la entidad también impuso una barrera para el ejercicio libre del derecho fundamental a la identidad de género p</w:t>
      </w:r>
      <w:r w:rsidRPr="00030313">
        <w:rPr>
          <w:rFonts w:ascii="Times New Roman" w:hAnsi="Times New Roman"/>
          <w:sz w:val="28"/>
        </w:rPr>
        <w:t xml:space="preserve">ara la persona accionante. Si bien es cierto que </w:t>
      </w:r>
      <w:r w:rsidRPr="00030313">
        <w:rPr>
          <w:rFonts w:ascii="Times New Roman" w:hAnsi="Times New Roman"/>
          <w:i/>
          <w:iCs/>
          <w:sz w:val="28"/>
        </w:rPr>
        <w:t>Sergio</w:t>
      </w:r>
      <w:r w:rsidRPr="00030313">
        <w:rPr>
          <w:rFonts w:ascii="Times New Roman" w:hAnsi="Times New Roman"/>
          <w:sz w:val="28"/>
        </w:rPr>
        <w:t xml:space="preserve"> cuenta con una cédula de ciudadanía física y un registro civil que cuentan con el marc</w:t>
      </w:r>
      <w:r w:rsidRPr="00030313">
        <w:rPr>
          <w:rFonts w:ascii="Times New Roman" w:hAnsi="Times New Roman"/>
          <w:sz w:val="28"/>
        </w:rPr>
        <w:t>ador de género “No Binario”</w:t>
      </w:r>
      <w:r w:rsidRPr="00030313">
        <w:rPr>
          <w:rFonts w:ascii="Times New Roman" w:hAnsi="Times New Roman"/>
          <w:sz w:val="28"/>
        </w:rPr>
        <w:t xml:space="preserve">, respecto del tráfico digital y el acceso a la posibilidad de identificarse en dicho ámbito con su identidad de género, la accionada impuso barreras a la persona accionante </w:t>
      </w:r>
      <w:r w:rsidRPr="00030313">
        <w:rPr>
          <w:rFonts w:ascii="Times New Roman" w:hAnsi="Times New Roman"/>
          <w:sz w:val="28"/>
        </w:rPr>
        <w:t xml:space="preserve">y ha impedido que esta pueda gozar del ejercicio </w:t>
      </w:r>
      <w:r w:rsidRPr="00030313">
        <w:rPr>
          <w:rFonts w:ascii="Times New Roman" w:hAnsi="Times New Roman"/>
          <w:sz w:val="28"/>
        </w:rPr>
        <w:t>materi</w:t>
      </w:r>
      <w:r w:rsidRPr="00030313">
        <w:rPr>
          <w:rFonts w:ascii="Times New Roman" w:hAnsi="Times New Roman"/>
          <w:sz w:val="28"/>
        </w:rPr>
        <w:t xml:space="preserve">al </w:t>
      </w:r>
      <w:r w:rsidRPr="00030313">
        <w:rPr>
          <w:rFonts w:ascii="Times New Roman" w:hAnsi="Times New Roman"/>
          <w:sz w:val="28"/>
        </w:rPr>
        <w:t xml:space="preserve">de su identidad de género. </w:t>
      </w:r>
    </w:p>
    <w:p w:rsidR="002011C1" w:rsidRPr="00030313" w:rsidRDefault="00030313" w:rsidP="00C61937">
      <w:pPr>
        <w:jc w:val="both"/>
        <w:rPr>
          <w:rFonts w:ascii="Times New Roman" w:hAnsi="Times New Roman"/>
          <w:sz w:val="28"/>
        </w:rPr>
      </w:pPr>
    </w:p>
    <w:p w:rsidR="002011C1" w:rsidRPr="00030313" w:rsidRDefault="00030313" w:rsidP="00C61937">
      <w:pPr>
        <w:numPr>
          <w:ilvl w:val="0"/>
          <w:numId w:val="6"/>
        </w:numPr>
        <w:ind w:left="0" w:firstLine="0"/>
        <w:jc w:val="both"/>
        <w:rPr>
          <w:rFonts w:ascii="Times New Roman" w:hAnsi="Times New Roman"/>
          <w:sz w:val="28"/>
        </w:rPr>
      </w:pPr>
      <w:r w:rsidRPr="00030313">
        <w:rPr>
          <w:rFonts w:ascii="Times New Roman" w:hAnsi="Times New Roman"/>
          <w:sz w:val="28"/>
        </w:rPr>
        <w:t xml:space="preserve"> </w:t>
      </w:r>
      <w:r w:rsidRPr="00030313">
        <w:rPr>
          <w:rFonts w:ascii="Times New Roman" w:hAnsi="Times New Roman"/>
          <w:sz w:val="28"/>
        </w:rPr>
        <w:t xml:space="preserve">Sobre este punto, </w:t>
      </w:r>
      <w:r w:rsidRPr="00030313">
        <w:rPr>
          <w:rFonts w:ascii="Times New Roman" w:hAnsi="Times New Roman"/>
          <w:sz w:val="28"/>
        </w:rPr>
        <w:t>es necesario resaltar que, si bien la Sentencia SU-</w:t>
      </w:r>
      <w:r w:rsidRPr="00030313">
        <w:rPr>
          <w:rFonts w:ascii="Times New Roman" w:hAnsi="Times New Roman"/>
          <w:sz w:val="28"/>
        </w:rPr>
        <w:t xml:space="preserve">440 de 2021 reconoció la faceta de reconocimiento jurídico de la identidad de género </w:t>
      </w:r>
      <w:r w:rsidRPr="00030313">
        <w:rPr>
          <w:rFonts w:ascii="Times New Roman" w:hAnsi="Times New Roman"/>
          <w:sz w:val="28"/>
        </w:rPr>
        <w:t>diversa como parte del derecho a la identidad de género respecto de l</w:t>
      </w:r>
      <w:r w:rsidRPr="00030313">
        <w:rPr>
          <w:rFonts w:ascii="Times New Roman" w:hAnsi="Times New Roman"/>
          <w:sz w:val="28"/>
        </w:rPr>
        <w:t xml:space="preserve">as personas trans, la Sala Quinta considera que ello no es óbice para que dicha faceta sea igualmente reconocida </w:t>
      </w:r>
      <w:r w:rsidRPr="00030313">
        <w:rPr>
          <w:rFonts w:ascii="Times New Roman" w:hAnsi="Times New Roman"/>
          <w:sz w:val="28"/>
        </w:rPr>
        <w:t xml:space="preserve">en el caso </w:t>
      </w:r>
      <w:r w:rsidRPr="00030313">
        <w:rPr>
          <w:rFonts w:ascii="Times New Roman" w:hAnsi="Times New Roman"/>
          <w:i/>
          <w:iCs/>
          <w:sz w:val="28"/>
        </w:rPr>
        <w:t>sub examine</w:t>
      </w:r>
      <w:r w:rsidRPr="00030313">
        <w:rPr>
          <w:rFonts w:ascii="Times New Roman" w:hAnsi="Times New Roman"/>
          <w:sz w:val="28"/>
        </w:rPr>
        <w:t xml:space="preserve">, por las siguientes razones. Primero, </w:t>
      </w:r>
      <w:r w:rsidRPr="00030313">
        <w:rPr>
          <w:rFonts w:ascii="Times New Roman" w:hAnsi="Times New Roman"/>
          <w:sz w:val="28"/>
        </w:rPr>
        <w:t xml:space="preserve">la Sentencia T-363 de 2016 señaló que </w:t>
      </w:r>
      <w:r w:rsidRPr="00030313">
        <w:rPr>
          <w:rFonts w:ascii="Times New Roman" w:hAnsi="Times New Roman"/>
          <w:sz w:val="28"/>
        </w:rPr>
        <w:t>la personalidad jurídica comprende todos aqu</w:t>
      </w:r>
      <w:r w:rsidRPr="00030313">
        <w:rPr>
          <w:rFonts w:ascii="Times New Roman" w:hAnsi="Times New Roman"/>
          <w:sz w:val="28"/>
        </w:rPr>
        <w:t>ellos elementos que distinguen a los sujetos y que demarcan su individualidad. En ese sentido, el reconocimiento de tal derecho implica, a su vez, el reconocimiento y la protección de los atributos mismos de la personalidad. Esta aseveración fue desarrolla</w:t>
      </w:r>
      <w:r w:rsidRPr="00030313">
        <w:rPr>
          <w:rFonts w:ascii="Times New Roman" w:hAnsi="Times New Roman"/>
          <w:sz w:val="28"/>
        </w:rPr>
        <w:t xml:space="preserve">da por la Corte Constitucional como parte de comprender el alcance </w:t>
      </w:r>
      <w:r w:rsidRPr="00030313">
        <w:rPr>
          <w:rFonts w:ascii="Times New Roman" w:hAnsi="Times New Roman"/>
          <w:sz w:val="28"/>
        </w:rPr>
        <w:t xml:space="preserve">del derecho a la identidad personal </w:t>
      </w:r>
      <w:r w:rsidRPr="00030313">
        <w:rPr>
          <w:rFonts w:ascii="Times New Roman" w:hAnsi="Times New Roman"/>
          <w:sz w:val="28"/>
        </w:rPr>
        <w:t xml:space="preserve">y reconocimiento individual como elemento determinante para un trato acorde con la identidad de género. </w:t>
      </w:r>
      <w:r w:rsidRPr="00030313">
        <w:rPr>
          <w:rFonts w:ascii="Times New Roman" w:hAnsi="Times New Roman"/>
          <w:sz w:val="28"/>
        </w:rPr>
        <w:t xml:space="preserve">En ese mismo sentido, </w:t>
      </w:r>
      <w:r w:rsidRPr="00030313">
        <w:rPr>
          <w:rFonts w:ascii="Times New Roman" w:hAnsi="Times New Roman"/>
          <w:sz w:val="28"/>
        </w:rPr>
        <w:t>la Sentencia aludida recono</w:t>
      </w:r>
      <w:r w:rsidRPr="00030313">
        <w:rPr>
          <w:rFonts w:ascii="Times New Roman" w:hAnsi="Times New Roman"/>
          <w:sz w:val="28"/>
        </w:rPr>
        <w:t xml:space="preserve">ció el sentido innegablemente relevante que tiene para las personas con identidad sexual diversa </w:t>
      </w:r>
      <w:r w:rsidRPr="00030313">
        <w:rPr>
          <w:rFonts w:ascii="Times New Roman" w:hAnsi="Times New Roman"/>
          <w:sz w:val="28"/>
        </w:rPr>
        <w:t>la elección de su nombre</w:t>
      </w:r>
      <w:r w:rsidRPr="00030313">
        <w:rPr>
          <w:rFonts w:ascii="Times New Roman" w:hAnsi="Times New Roman"/>
          <w:sz w:val="28"/>
        </w:rPr>
        <w:t xml:space="preserve">, precisamente, como un atributo de su personalidad y de la posibilidad de que el Estado reconozca tal </w:t>
      </w:r>
      <w:r w:rsidRPr="00030313">
        <w:rPr>
          <w:rFonts w:ascii="Times New Roman" w:hAnsi="Times New Roman"/>
          <w:sz w:val="28"/>
        </w:rPr>
        <w:t xml:space="preserve">elección. </w:t>
      </w:r>
      <w:r w:rsidRPr="00030313">
        <w:rPr>
          <w:rFonts w:ascii="Times New Roman" w:hAnsi="Times New Roman"/>
          <w:sz w:val="28"/>
        </w:rPr>
        <w:t xml:space="preserve">Así, para la Corte, </w:t>
      </w:r>
      <w:r w:rsidRPr="00030313">
        <w:rPr>
          <w:rFonts w:ascii="Times New Roman" w:hAnsi="Times New Roman"/>
          <w:sz w:val="28"/>
        </w:rPr>
        <w:t xml:space="preserve">son las personas quienes establecen su identidad por medio de los elementos y acciones que estimen pertinentes y suficientes para ese propósito. </w:t>
      </w:r>
    </w:p>
    <w:p w:rsidR="002011C1" w:rsidRPr="00030313" w:rsidRDefault="00030313" w:rsidP="00C61937">
      <w:pPr>
        <w:ind w:right="51"/>
        <w:jc w:val="both"/>
        <w:rPr>
          <w:rFonts w:ascii="Times New Roman" w:hAnsi="Times New Roman"/>
          <w:sz w:val="28"/>
        </w:rPr>
      </w:pPr>
    </w:p>
    <w:p w:rsidR="00957B45" w:rsidRPr="00030313" w:rsidRDefault="00030313" w:rsidP="00C61937">
      <w:pPr>
        <w:pStyle w:val="Prrafodelista"/>
        <w:numPr>
          <w:ilvl w:val="0"/>
          <w:numId w:val="6"/>
        </w:numPr>
        <w:ind w:left="0" w:right="51" w:firstLine="0"/>
        <w:jc w:val="both"/>
        <w:rPr>
          <w:rFonts w:ascii="Times New Roman" w:hAnsi="Times New Roman"/>
          <w:sz w:val="28"/>
        </w:rPr>
      </w:pPr>
      <w:r w:rsidRPr="00030313">
        <w:rPr>
          <w:rFonts w:ascii="Times New Roman" w:hAnsi="Times New Roman"/>
          <w:sz w:val="28"/>
        </w:rPr>
        <w:t xml:space="preserve"> </w:t>
      </w:r>
      <w:r w:rsidRPr="00030313">
        <w:rPr>
          <w:rFonts w:ascii="Times New Roman" w:hAnsi="Times New Roman"/>
          <w:sz w:val="28"/>
        </w:rPr>
        <w:t>En segundo lugar</w:t>
      </w:r>
      <w:r w:rsidRPr="00030313">
        <w:rPr>
          <w:rFonts w:ascii="Times New Roman" w:hAnsi="Times New Roman"/>
          <w:sz w:val="28"/>
        </w:rPr>
        <w:t xml:space="preserve"> y en hilo con lo precedente, la situación de las personas no binarias se asemeja aquella de </w:t>
      </w:r>
      <w:r w:rsidRPr="00030313">
        <w:rPr>
          <w:rFonts w:ascii="Times New Roman" w:hAnsi="Times New Roman"/>
          <w:sz w:val="28"/>
        </w:rPr>
        <w:t xml:space="preserve">las personas trans, </w:t>
      </w:r>
      <w:r w:rsidRPr="00030313">
        <w:rPr>
          <w:rFonts w:ascii="Times New Roman" w:hAnsi="Times New Roman"/>
          <w:sz w:val="28"/>
        </w:rPr>
        <w:t xml:space="preserve">en </w:t>
      </w:r>
      <w:r w:rsidRPr="00030313">
        <w:rPr>
          <w:rFonts w:ascii="Times New Roman" w:hAnsi="Times New Roman"/>
          <w:sz w:val="28"/>
        </w:rPr>
        <w:t>el sentido de que persiguen, entre otras cosas,</w:t>
      </w:r>
      <w:r w:rsidRPr="00030313">
        <w:rPr>
          <w:rFonts w:ascii="Times New Roman" w:hAnsi="Times New Roman"/>
          <w:sz w:val="28"/>
        </w:rPr>
        <w:t xml:space="preserve"> que el Estado reconozca jurídicamente </w:t>
      </w:r>
      <w:r w:rsidRPr="00030313">
        <w:rPr>
          <w:rFonts w:ascii="Times New Roman" w:hAnsi="Times New Roman"/>
          <w:sz w:val="28"/>
        </w:rPr>
        <w:t>los atributos de la personalidad que dichas personas e</w:t>
      </w:r>
      <w:r w:rsidRPr="00030313">
        <w:rPr>
          <w:rFonts w:ascii="Times New Roman" w:hAnsi="Times New Roman"/>
          <w:sz w:val="28"/>
        </w:rPr>
        <w:t>ligieron de manera libre y autónoma</w:t>
      </w:r>
      <w:r w:rsidRPr="00030313">
        <w:rPr>
          <w:rFonts w:ascii="Times New Roman" w:hAnsi="Times New Roman"/>
          <w:sz w:val="28"/>
        </w:rPr>
        <w:t xml:space="preserve"> en sus documentos de identidad</w:t>
      </w:r>
      <w:r w:rsidRPr="00030313">
        <w:rPr>
          <w:rFonts w:ascii="Times New Roman" w:hAnsi="Times New Roman"/>
          <w:sz w:val="28"/>
        </w:rPr>
        <w:t xml:space="preserve">. En esa medida, </w:t>
      </w:r>
      <w:r w:rsidRPr="00030313">
        <w:rPr>
          <w:rFonts w:ascii="Times New Roman" w:hAnsi="Times New Roman"/>
          <w:sz w:val="28"/>
        </w:rPr>
        <w:t xml:space="preserve">toda vez que las personas no binarias </w:t>
      </w:r>
      <w:r w:rsidRPr="00030313">
        <w:rPr>
          <w:rFonts w:ascii="Times New Roman" w:hAnsi="Times New Roman"/>
          <w:sz w:val="28"/>
        </w:rPr>
        <w:t>concurren en la pretensión con las personas trans de lograr que sus documentos de identidad reflejen su decisión de reconocerse de mane</w:t>
      </w:r>
      <w:r w:rsidRPr="00030313">
        <w:rPr>
          <w:rFonts w:ascii="Times New Roman" w:hAnsi="Times New Roman"/>
          <w:sz w:val="28"/>
        </w:rPr>
        <w:t>ra diversa</w:t>
      </w:r>
      <w:r w:rsidRPr="00030313">
        <w:rPr>
          <w:rFonts w:ascii="Times New Roman" w:hAnsi="Times New Roman"/>
          <w:sz w:val="28"/>
        </w:rPr>
        <w:t xml:space="preserve"> </w:t>
      </w:r>
      <w:r w:rsidRPr="00030313">
        <w:rPr>
          <w:rFonts w:ascii="Times New Roman" w:hAnsi="Times New Roman"/>
          <w:sz w:val="28"/>
        </w:rPr>
        <w:t xml:space="preserve">a través de su sexo, </w:t>
      </w:r>
      <w:r w:rsidRPr="00030313">
        <w:rPr>
          <w:rFonts w:ascii="Times New Roman" w:hAnsi="Times New Roman"/>
          <w:sz w:val="28"/>
        </w:rPr>
        <w:t>es claro que su propósito es, precisamente, que el Estado reconozca jurídicamente esa decisión, por medio de l</w:t>
      </w:r>
      <w:r w:rsidRPr="00030313">
        <w:rPr>
          <w:rFonts w:ascii="Times New Roman" w:hAnsi="Times New Roman"/>
          <w:sz w:val="28"/>
        </w:rPr>
        <w:t>a debida incorporación de los nombres elegidos y marcación de sexo elegida</w:t>
      </w:r>
      <w:r w:rsidRPr="00030313">
        <w:rPr>
          <w:rFonts w:ascii="Times New Roman" w:hAnsi="Times New Roman"/>
          <w:sz w:val="28"/>
        </w:rPr>
        <w:t>, conforme lo desarrollado en</w:t>
      </w:r>
      <w:r w:rsidRPr="00030313">
        <w:rPr>
          <w:rFonts w:ascii="Times New Roman" w:hAnsi="Times New Roman"/>
          <w:sz w:val="28"/>
        </w:rPr>
        <w:t xml:space="preserve"> la Ley y e</w:t>
      </w:r>
      <w:r w:rsidRPr="00030313">
        <w:rPr>
          <w:rFonts w:ascii="Times New Roman" w:hAnsi="Times New Roman"/>
          <w:sz w:val="28"/>
        </w:rPr>
        <w:t>n</w:t>
      </w:r>
      <w:r w:rsidRPr="00030313">
        <w:rPr>
          <w:rFonts w:ascii="Times New Roman" w:hAnsi="Times New Roman"/>
          <w:sz w:val="28"/>
        </w:rPr>
        <w:t xml:space="preserve"> la jurisprudencia constitucional</w:t>
      </w:r>
      <w:r w:rsidRPr="00030313">
        <w:rPr>
          <w:rStyle w:val="Refdenotaalpie"/>
          <w:rFonts w:ascii="Times New Roman" w:hAnsi="Times New Roman"/>
          <w:sz w:val="28"/>
        </w:rPr>
        <w:footnoteReference w:id="92"/>
      </w:r>
      <w:r w:rsidRPr="00030313">
        <w:rPr>
          <w:rFonts w:ascii="Times New Roman" w:hAnsi="Times New Roman"/>
          <w:sz w:val="28"/>
        </w:rPr>
        <w:t>.</w:t>
      </w:r>
    </w:p>
    <w:p w:rsidR="002918B6" w:rsidRPr="00030313" w:rsidRDefault="00030313" w:rsidP="00C61937">
      <w:pPr>
        <w:ind w:right="51"/>
        <w:jc w:val="both"/>
        <w:rPr>
          <w:rFonts w:ascii="Times New Roman" w:hAnsi="Times New Roman"/>
          <w:color w:val="000000"/>
          <w:sz w:val="28"/>
          <w:shd w:val="clear" w:color="auto" w:fill="FFFFFF"/>
        </w:rPr>
      </w:pPr>
    </w:p>
    <w:p w:rsidR="00957B45" w:rsidRPr="00030313" w:rsidRDefault="00030313" w:rsidP="00C61937">
      <w:pPr>
        <w:numPr>
          <w:ilvl w:val="0"/>
          <w:numId w:val="6"/>
        </w:numPr>
        <w:ind w:left="0" w:right="51" w:firstLine="0"/>
        <w:jc w:val="both"/>
        <w:rPr>
          <w:rFonts w:ascii="Times New Roman" w:hAnsi="Times New Roman"/>
          <w:color w:val="000000"/>
          <w:sz w:val="28"/>
          <w:shd w:val="clear" w:color="auto" w:fill="FFFFFF"/>
        </w:rPr>
      </w:pPr>
      <w:r w:rsidRPr="00030313">
        <w:rPr>
          <w:rFonts w:ascii="Times New Roman" w:hAnsi="Times New Roman"/>
          <w:color w:val="000000"/>
          <w:sz w:val="28"/>
          <w:shd w:val="clear" w:color="auto" w:fill="FFFFFF"/>
        </w:rPr>
        <w:t>Con base en todo lo recapitulado, la Sala Quinta de Revisión considera que la Registraduría Nacional del Estado Civil vulneró los derechos al libre desarrollo de la personalidad, la identidad de género</w:t>
      </w:r>
      <w:r w:rsidRPr="00030313">
        <w:rPr>
          <w:rFonts w:ascii="Times New Roman" w:hAnsi="Times New Roman"/>
          <w:color w:val="000000"/>
          <w:sz w:val="28"/>
          <w:shd w:val="clear" w:color="auto" w:fill="FFFFFF"/>
        </w:rPr>
        <w:t xml:space="preserve"> en su faceta de reconocimiento jurídico</w:t>
      </w:r>
      <w:r w:rsidRPr="00030313">
        <w:rPr>
          <w:rFonts w:ascii="Times New Roman" w:hAnsi="Times New Roman"/>
          <w:color w:val="000000"/>
          <w:sz w:val="28"/>
          <w:shd w:val="clear" w:color="auto" w:fill="FFFFFF"/>
        </w:rPr>
        <w:t xml:space="preserve">, y a la igualdad de la persona accionante, por las razones precedentes. </w:t>
      </w:r>
    </w:p>
    <w:p w:rsidR="00890FE2" w:rsidRPr="00030313" w:rsidRDefault="00030313" w:rsidP="00C61937">
      <w:pPr>
        <w:ind w:right="51"/>
        <w:jc w:val="both"/>
        <w:rPr>
          <w:rFonts w:ascii="Times New Roman" w:hAnsi="Times New Roman"/>
          <w:color w:val="000000"/>
          <w:sz w:val="28"/>
          <w:shd w:val="clear" w:color="auto" w:fill="FFFFFF"/>
        </w:rPr>
      </w:pPr>
    </w:p>
    <w:p w:rsidR="00C36B4C" w:rsidRPr="00030313" w:rsidRDefault="00030313" w:rsidP="00C61937">
      <w:pPr>
        <w:numPr>
          <w:ilvl w:val="0"/>
          <w:numId w:val="6"/>
        </w:numPr>
        <w:ind w:left="0" w:right="51" w:firstLine="0"/>
        <w:jc w:val="both"/>
        <w:rPr>
          <w:rFonts w:ascii="Times New Roman" w:hAnsi="Times New Roman"/>
          <w:bCs/>
          <w:iCs/>
          <w:spacing w:val="5"/>
          <w:sz w:val="28"/>
        </w:rPr>
      </w:pPr>
      <w:r w:rsidRPr="00030313">
        <w:rPr>
          <w:rFonts w:ascii="Times New Roman" w:hAnsi="Times New Roman"/>
          <w:color w:val="000000"/>
          <w:sz w:val="28"/>
          <w:shd w:val="clear" w:color="auto" w:fill="FFFFFF"/>
        </w:rPr>
        <w:t>Finalmente,</w:t>
      </w:r>
      <w:r w:rsidRPr="00030313">
        <w:rPr>
          <w:rFonts w:ascii="Times New Roman" w:hAnsi="Times New Roman"/>
          <w:color w:val="000000"/>
          <w:sz w:val="28"/>
          <w:shd w:val="clear" w:color="auto" w:fill="FFFFFF"/>
        </w:rPr>
        <w:t xml:space="preserve"> tras analizar las pruebas allegadas por parte del Congreso de la República,</w:t>
      </w:r>
      <w:r w:rsidRPr="00030313">
        <w:rPr>
          <w:rFonts w:ascii="Times New Roman" w:hAnsi="Times New Roman"/>
          <w:color w:val="000000"/>
          <w:sz w:val="28"/>
          <w:shd w:val="clear" w:color="auto" w:fill="FFFFFF"/>
        </w:rPr>
        <w:t xml:space="preserve"> la Sala </w:t>
      </w:r>
      <w:r w:rsidRPr="00030313">
        <w:rPr>
          <w:rFonts w:ascii="Times New Roman" w:hAnsi="Times New Roman"/>
          <w:color w:val="000000"/>
          <w:sz w:val="28"/>
          <w:shd w:val="clear" w:color="auto" w:fill="FFFFFF"/>
        </w:rPr>
        <w:t xml:space="preserve">considera que </w:t>
      </w:r>
      <w:r w:rsidRPr="00030313">
        <w:rPr>
          <w:rFonts w:ascii="Times New Roman" w:hAnsi="Times New Roman"/>
          <w:color w:val="000000"/>
          <w:sz w:val="28"/>
          <w:shd w:val="clear" w:color="auto" w:fill="FFFFFF"/>
        </w:rPr>
        <w:t>el Congreso a pesar de distinto</w:t>
      </w:r>
      <w:r w:rsidRPr="00030313">
        <w:rPr>
          <w:rFonts w:ascii="Times New Roman" w:hAnsi="Times New Roman"/>
          <w:color w:val="000000"/>
          <w:sz w:val="28"/>
          <w:shd w:val="clear" w:color="auto" w:fill="FFFFFF"/>
        </w:rPr>
        <w:t>s esfuerzos</w:t>
      </w:r>
      <w:r w:rsidRPr="00030313">
        <w:rPr>
          <w:rFonts w:ascii="Times New Roman" w:hAnsi="Times New Roman"/>
          <w:color w:val="000000"/>
          <w:sz w:val="28"/>
          <w:shd w:val="clear" w:color="auto" w:fill="FFFFFF"/>
        </w:rPr>
        <w:t xml:space="preserve"> en el trámite de algunas normas relacionadas con la controversia que subyace a este proceso</w:t>
      </w:r>
      <w:r w:rsidRPr="00030313">
        <w:rPr>
          <w:rFonts w:ascii="Times New Roman" w:hAnsi="Times New Roman"/>
          <w:color w:val="000000"/>
          <w:sz w:val="28"/>
          <w:shd w:val="clear" w:color="auto" w:fill="FFFFFF"/>
        </w:rPr>
        <w:t xml:space="preserve">, no ha concretado la regulación requerida, relacionada con lo previsto en </w:t>
      </w:r>
      <w:r w:rsidRPr="00030313">
        <w:rPr>
          <w:rFonts w:ascii="Times New Roman" w:hAnsi="Times New Roman"/>
          <w:color w:val="000000"/>
          <w:sz w:val="28"/>
          <w:shd w:val="clear" w:color="auto" w:fill="FFFFFF"/>
        </w:rPr>
        <w:t xml:space="preserve">el exhorto del resolutivo sexto de la Sentencia T-033 de 2022. </w:t>
      </w:r>
      <w:r w:rsidRPr="00030313">
        <w:rPr>
          <w:rFonts w:ascii="Times New Roman" w:hAnsi="Times New Roman"/>
          <w:color w:val="000000"/>
          <w:sz w:val="28"/>
          <w:shd w:val="clear" w:color="auto" w:fill="FFFFFF"/>
        </w:rPr>
        <w:t>Por lo expuesto</w:t>
      </w:r>
      <w:r w:rsidRPr="00030313">
        <w:rPr>
          <w:rFonts w:ascii="Times New Roman" w:hAnsi="Times New Roman"/>
          <w:color w:val="000000"/>
          <w:sz w:val="28"/>
          <w:shd w:val="clear" w:color="auto" w:fill="FFFFFF"/>
        </w:rPr>
        <w:t xml:space="preserve">, </w:t>
      </w:r>
      <w:r w:rsidRPr="00030313">
        <w:rPr>
          <w:rFonts w:ascii="Times New Roman" w:hAnsi="Times New Roman"/>
          <w:color w:val="000000"/>
          <w:sz w:val="28"/>
          <w:shd w:val="clear" w:color="auto" w:fill="FFFFFF"/>
        </w:rPr>
        <w:t xml:space="preserve">la Sala </w:t>
      </w:r>
      <w:r w:rsidRPr="00030313">
        <w:rPr>
          <w:rFonts w:ascii="Times New Roman" w:hAnsi="Times New Roman"/>
          <w:color w:val="000000"/>
          <w:sz w:val="28"/>
          <w:shd w:val="clear" w:color="auto" w:fill="FFFFFF"/>
        </w:rPr>
        <w:t>reiterará el exhorto mencionado</w:t>
      </w:r>
      <w:r w:rsidRPr="00030313">
        <w:rPr>
          <w:rFonts w:ascii="Times New Roman" w:hAnsi="Times New Roman"/>
          <w:color w:val="000000"/>
          <w:sz w:val="28"/>
          <w:shd w:val="clear" w:color="auto" w:fill="FFFFFF"/>
        </w:rPr>
        <w:t xml:space="preserve">. </w:t>
      </w:r>
    </w:p>
    <w:p w:rsidR="00840245" w:rsidRPr="00030313" w:rsidRDefault="00030313" w:rsidP="00C61937">
      <w:pPr>
        <w:ind w:right="51"/>
        <w:jc w:val="both"/>
        <w:rPr>
          <w:rFonts w:ascii="Times New Roman" w:hAnsi="Times New Roman"/>
          <w:bCs/>
          <w:iCs/>
          <w:spacing w:val="5"/>
          <w:sz w:val="28"/>
        </w:rPr>
      </w:pPr>
    </w:p>
    <w:p w:rsidR="00C36B4C" w:rsidRPr="00030313" w:rsidRDefault="00030313" w:rsidP="00C61937">
      <w:pPr>
        <w:ind w:right="51"/>
        <w:jc w:val="both"/>
        <w:rPr>
          <w:rFonts w:ascii="Times New Roman" w:hAnsi="Times New Roman"/>
          <w:b/>
          <w:iCs/>
          <w:spacing w:val="5"/>
          <w:sz w:val="28"/>
        </w:rPr>
      </w:pPr>
    </w:p>
    <w:p w:rsidR="00C36B4C" w:rsidRPr="00030313" w:rsidRDefault="00030313" w:rsidP="00C61937">
      <w:pPr>
        <w:pStyle w:val="Ttulo2"/>
        <w:numPr>
          <w:ilvl w:val="1"/>
          <w:numId w:val="11"/>
        </w:numPr>
        <w:rPr>
          <w:rFonts w:ascii="Times New Roman" w:hAnsi="Times New Roman"/>
          <w:sz w:val="28"/>
        </w:rPr>
      </w:pPr>
      <w:bookmarkStart w:id="17" w:name="_Toc183628567"/>
      <w:r w:rsidRPr="00030313">
        <w:rPr>
          <w:rFonts w:ascii="Times New Roman" w:hAnsi="Times New Roman"/>
          <w:sz w:val="28"/>
        </w:rPr>
        <w:t>Sobre las decisiones a adoptar</w:t>
      </w:r>
      <w:bookmarkEnd w:id="17"/>
      <w:r w:rsidRPr="00030313">
        <w:rPr>
          <w:rFonts w:ascii="Times New Roman" w:hAnsi="Times New Roman"/>
          <w:sz w:val="28"/>
        </w:rPr>
        <w:t xml:space="preserve"> </w:t>
      </w:r>
    </w:p>
    <w:p w:rsidR="00C36B4C" w:rsidRPr="00030313" w:rsidRDefault="00030313" w:rsidP="00C61937">
      <w:pPr>
        <w:ind w:left="708"/>
        <w:jc w:val="both"/>
        <w:rPr>
          <w:rFonts w:ascii="Times New Roman" w:hAnsi="Times New Roman"/>
          <w:b/>
          <w:iCs/>
          <w:spacing w:val="5"/>
          <w:sz w:val="28"/>
        </w:rPr>
      </w:pPr>
    </w:p>
    <w:p w:rsidR="00146C93" w:rsidRPr="00030313" w:rsidRDefault="00030313" w:rsidP="00C61937">
      <w:pPr>
        <w:numPr>
          <w:ilvl w:val="0"/>
          <w:numId w:val="6"/>
        </w:numPr>
        <w:ind w:left="0" w:right="51" w:firstLine="0"/>
        <w:jc w:val="both"/>
        <w:rPr>
          <w:rFonts w:ascii="Times New Roman" w:hAnsi="Times New Roman"/>
          <w:b/>
          <w:iCs/>
          <w:spacing w:val="5"/>
          <w:sz w:val="28"/>
        </w:rPr>
      </w:pPr>
      <w:r w:rsidRPr="00030313">
        <w:rPr>
          <w:rFonts w:ascii="Times New Roman" w:hAnsi="Times New Roman"/>
          <w:bCs/>
          <w:iCs/>
          <w:spacing w:val="5"/>
          <w:sz w:val="28"/>
        </w:rPr>
        <w:t>Con todo lo anterior, la Sala Quinta de Revisión de Tutelas</w:t>
      </w:r>
      <w:r w:rsidRPr="00030313">
        <w:rPr>
          <w:rFonts w:ascii="Times New Roman" w:hAnsi="Times New Roman"/>
          <w:bCs/>
          <w:iCs/>
          <w:spacing w:val="5"/>
          <w:sz w:val="28"/>
        </w:rPr>
        <w:t xml:space="preserve"> </w:t>
      </w:r>
      <w:r w:rsidRPr="00030313">
        <w:rPr>
          <w:rFonts w:ascii="Times New Roman" w:hAnsi="Times New Roman"/>
          <w:bCs/>
          <w:iCs/>
          <w:spacing w:val="5"/>
          <w:sz w:val="28"/>
        </w:rPr>
        <w:t>revocará</w:t>
      </w:r>
      <w:r w:rsidRPr="00030313">
        <w:rPr>
          <w:rFonts w:ascii="Times New Roman" w:hAnsi="Times New Roman"/>
          <w:bCs/>
          <w:iCs/>
          <w:spacing w:val="5"/>
          <w:sz w:val="28"/>
        </w:rPr>
        <w:t xml:space="preserve"> la sentencia adoptada </w:t>
      </w:r>
      <w:r w:rsidRPr="00030313">
        <w:rPr>
          <w:rFonts w:ascii="Times New Roman" w:hAnsi="Times New Roman"/>
          <w:bCs/>
          <w:iCs/>
          <w:spacing w:val="5"/>
          <w:sz w:val="28"/>
        </w:rPr>
        <w:t xml:space="preserve">el 8 de marzo de 2024 </w:t>
      </w:r>
      <w:r w:rsidRPr="00030313">
        <w:rPr>
          <w:rFonts w:ascii="Times New Roman" w:hAnsi="Times New Roman"/>
          <w:bCs/>
          <w:iCs/>
          <w:spacing w:val="5"/>
          <w:sz w:val="28"/>
        </w:rPr>
        <w:t>por el Juzgado</w:t>
      </w:r>
      <w:r w:rsidRPr="00030313">
        <w:rPr>
          <w:rFonts w:ascii="Times New Roman" w:hAnsi="Times New Roman"/>
          <w:bCs/>
          <w:iCs/>
          <w:spacing w:val="5"/>
          <w:sz w:val="28"/>
        </w:rPr>
        <w:t xml:space="preserve"> 0</w:t>
      </w:r>
      <w:r w:rsidRPr="00030313">
        <w:rPr>
          <w:rFonts w:ascii="Times New Roman" w:hAnsi="Times New Roman"/>
          <w:bCs/>
          <w:iCs/>
          <w:spacing w:val="5"/>
          <w:sz w:val="28"/>
        </w:rPr>
        <w:t xml:space="preserve">15 Administrativo del Circuito Judicial de </w:t>
      </w:r>
      <w:r w:rsidRPr="00030313">
        <w:rPr>
          <w:rFonts w:ascii="Times New Roman" w:hAnsi="Times New Roman"/>
          <w:bCs/>
          <w:iCs/>
          <w:spacing w:val="5"/>
          <w:sz w:val="28"/>
        </w:rPr>
        <w:t>Bogotá</w:t>
      </w:r>
      <w:r w:rsidRPr="00030313">
        <w:rPr>
          <w:rFonts w:ascii="Times New Roman" w:hAnsi="Times New Roman"/>
          <w:bCs/>
          <w:iCs/>
          <w:spacing w:val="5"/>
          <w:sz w:val="28"/>
        </w:rPr>
        <w:t>, Sección Segunda,</w:t>
      </w:r>
      <w:r w:rsidRPr="00030313">
        <w:rPr>
          <w:rFonts w:ascii="Times New Roman" w:hAnsi="Times New Roman"/>
          <w:bCs/>
          <w:iCs/>
          <w:spacing w:val="5"/>
          <w:sz w:val="28"/>
        </w:rPr>
        <w:t xml:space="preserve"> </w:t>
      </w:r>
      <w:r w:rsidRPr="00030313">
        <w:rPr>
          <w:rFonts w:ascii="Times New Roman" w:hAnsi="Times New Roman"/>
          <w:bCs/>
          <w:iCs/>
          <w:spacing w:val="5"/>
          <w:sz w:val="28"/>
        </w:rPr>
        <w:t xml:space="preserve">para, en su lugar, tutelar </w:t>
      </w:r>
      <w:r w:rsidRPr="00030313">
        <w:rPr>
          <w:rFonts w:ascii="Times New Roman" w:hAnsi="Times New Roman"/>
          <w:bCs/>
          <w:iCs/>
          <w:spacing w:val="5"/>
          <w:sz w:val="28"/>
        </w:rPr>
        <w:t>los derechos</w:t>
      </w:r>
      <w:r w:rsidRPr="00030313">
        <w:rPr>
          <w:rFonts w:ascii="Times New Roman" w:hAnsi="Times New Roman"/>
          <w:bCs/>
          <w:iCs/>
          <w:spacing w:val="5"/>
          <w:sz w:val="28"/>
        </w:rPr>
        <w:t xml:space="preserve"> fundamental</w:t>
      </w:r>
      <w:r w:rsidRPr="00030313">
        <w:rPr>
          <w:rFonts w:ascii="Times New Roman" w:hAnsi="Times New Roman"/>
          <w:bCs/>
          <w:iCs/>
          <w:spacing w:val="5"/>
          <w:sz w:val="28"/>
        </w:rPr>
        <w:t>es</w:t>
      </w:r>
      <w:r w:rsidRPr="00030313">
        <w:rPr>
          <w:rFonts w:ascii="Times New Roman" w:hAnsi="Times New Roman"/>
          <w:bCs/>
          <w:iCs/>
          <w:spacing w:val="5"/>
          <w:sz w:val="28"/>
        </w:rPr>
        <w:t xml:space="preserve"> a la igualdad, al libre desarrollo de la personalidad </w:t>
      </w:r>
      <w:r w:rsidRPr="00030313">
        <w:rPr>
          <w:rFonts w:ascii="Times New Roman" w:hAnsi="Times New Roman"/>
          <w:bCs/>
          <w:iCs/>
          <w:spacing w:val="5"/>
          <w:sz w:val="28"/>
        </w:rPr>
        <w:t>y a la identidad de género, con fundamento en lo expuesto en la parte considerativa de esta providencia.</w:t>
      </w:r>
      <w:r w:rsidRPr="00030313">
        <w:rPr>
          <w:rFonts w:ascii="Times New Roman" w:hAnsi="Times New Roman"/>
          <w:bCs/>
          <w:iCs/>
          <w:spacing w:val="5"/>
          <w:sz w:val="28"/>
        </w:rPr>
        <w:t xml:space="preserve"> </w:t>
      </w:r>
      <w:r w:rsidRPr="00030313">
        <w:rPr>
          <w:rFonts w:ascii="Times New Roman" w:hAnsi="Times New Roman"/>
          <w:bCs/>
          <w:iCs/>
          <w:spacing w:val="5"/>
          <w:sz w:val="28"/>
        </w:rPr>
        <w:t xml:space="preserve">De otro lado, se negará la tutela respecto de derecho a la personalidad jurídica y </w:t>
      </w:r>
      <w:r w:rsidRPr="00030313">
        <w:rPr>
          <w:rFonts w:ascii="Times New Roman" w:hAnsi="Times New Roman"/>
          <w:bCs/>
          <w:iCs/>
          <w:spacing w:val="5"/>
          <w:sz w:val="28"/>
        </w:rPr>
        <w:t xml:space="preserve">la libre circulación, por lo señalado en el análisis </w:t>
      </w:r>
      <w:r w:rsidRPr="00030313">
        <w:rPr>
          <w:rFonts w:ascii="Times New Roman" w:hAnsi="Times New Roman"/>
          <w:bCs/>
          <w:iCs/>
          <w:spacing w:val="5"/>
          <w:sz w:val="28"/>
        </w:rPr>
        <w:t xml:space="preserve">precedente. </w:t>
      </w:r>
    </w:p>
    <w:p w:rsidR="00F52241" w:rsidRPr="00030313" w:rsidRDefault="00030313" w:rsidP="00C61937">
      <w:pPr>
        <w:ind w:right="51"/>
        <w:jc w:val="both"/>
        <w:rPr>
          <w:rFonts w:ascii="Times New Roman" w:hAnsi="Times New Roman"/>
          <w:b/>
          <w:iCs/>
          <w:spacing w:val="5"/>
          <w:sz w:val="28"/>
        </w:rPr>
      </w:pPr>
    </w:p>
    <w:p w:rsidR="00F52241" w:rsidRPr="00030313" w:rsidRDefault="00030313" w:rsidP="00C61937">
      <w:pPr>
        <w:numPr>
          <w:ilvl w:val="0"/>
          <w:numId w:val="6"/>
        </w:numPr>
        <w:ind w:left="0" w:right="51" w:firstLine="0"/>
        <w:jc w:val="both"/>
        <w:rPr>
          <w:rFonts w:ascii="Times New Roman" w:hAnsi="Times New Roman"/>
          <w:b/>
          <w:iCs/>
          <w:spacing w:val="5"/>
          <w:sz w:val="28"/>
        </w:rPr>
      </w:pPr>
      <w:r w:rsidRPr="00030313">
        <w:rPr>
          <w:rFonts w:ascii="Times New Roman" w:hAnsi="Times New Roman"/>
          <w:bCs/>
          <w:iCs/>
          <w:spacing w:val="5"/>
          <w:sz w:val="28"/>
        </w:rPr>
        <w:t xml:space="preserve">Adicionalmente, </w:t>
      </w:r>
      <w:r w:rsidRPr="00030313">
        <w:rPr>
          <w:rFonts w:ascii="Times New Roman" w:hAnsi="Times New Roman"/>
          <w:bCs/>
          <w:iCs/>
          <w:spacing w:val="5"/>
          <w:sz w:val="28"/>
        </w:rPr>
        <w:t xml:space="preserve">la Sala ordenará a la Registraduría Nacional del Estado Civil que, en </w:t>
      </w:r>
      <w:r w:rsidRPr="00030313">
        <w:rPr>
          <w:rFonts w:ascii="Times New Roman" w:hAnsi="Times New Roman"/>
          <w:bCs/>
          <w:iCs/>
          <w:spacing w:val="5"/>
          <w:sz w:val="28"/>
        </w:rPr>
        <w:t>el término de seis m</w:t>
      </w:r>
      <w:r w:rsidRPr="00030313">
        <w:rPr>
          <w:rFonts w:ascii="Times New Roman" w:hAnsi="Times New Roman"/>
          <w:bCs/>
          <w:iCs/>
          <w:spacing w:val="5"/>
          <w:sz w:val="28"/>
        </w:rPr>
        <w:t>eses</w:t>
      </w:r>
      <w:r w:rsidRPr="00030313">
        <w:rPr>
          <w:rFonts w:ascii="Times New Roman" w:hAnsi="Times New Roman"/>
          <w:bCs/>
          <w:iCs/>
          <w:spacing w:val="5"/>
          <w:sz w:val="28"/>
        </w:rPr>
        <w:t xml:space="preserve"> a partir de la</w:t>
      </w:r>
      <w:r w:rsidRPr="00030313">
        <w:rPr>
          <w:rFonts w:ascii="Times New Roman" w:hAnsi="Times New Roman"/>
          <w:bCs/>
          <w:iCs/>
          <w:spacing w:val="5"/>
          <w:sz w:val="28"/>
        </w:rPr>
        <w:t xml:space="preserve"> notificación</w:t>
      </w:r>
      <w:r w:rsidRPr="00030313">
        <w:rPr>
          <w:rFonts w:ascii="Times New Roman" w:hAnsi="Times New Roman"/>
          <w:bCs/>
          <w:iCs/>
          <w:spacing w:val="5"/>
          <w:sz w:val="28"/>
        </w:rPr>
        <w:t xml:space="preserve"> de esta providencia</w:t>
      </w:r>
      <w:r w:rsidRPr="00030313">
        <w:rPr>
          <w:rFonts w:ascii="Times New Roman" w:hAnsi="Times New Roman"/>
          <w:bCs/>
          <w:iCs/>
          <w:spacing w:val="5"/>
          <w:sz w:val="28"/>
        </w:rPr>
        <w:t xml:space="preserve">, realice las respectivas gestiones </w:t>
      </w:r>
      <w:r w:rsidRPr="00030313">
        <w:rPr>
          <w:rFonts w:ascii="Times New Roman" w:hAnsi="Times New Roman"/>
          <w:bCs/>
          <w:iCs/>
          <w:spacing w:val="5"/>
          <w:sz w:val="28"/>
        </w:rPr>
        <w:t xml:space="preserve">de forma coordinada con el Departamento Nacional de Planeación </w:t>
      </w:r>
      <w:r w:rsidRPr="00030313">
        <w:rPr>
          <w:rFonts w:ascii="Times New Roman" w:hAnsi="Times New Roman"/>
          <w:bCs/>
          <w:iCs/>
          <w:spacing w:val="5"/>
          <w:sz w:val="28"/>
        </w:rPr>
        <w:t xml:space="preserve">para </w:t>
      </w:r>
      <w:r w:rsidRPr="00030313">
        <w:rPr>
          <w:rFonts w:ascii="Times New Roman" w:hAnsi="Times New Roman"/>
          <w:bCs/>
          <w:iCs/>
          <w:spacing w:val="5"/>
          <w:sz w:val="28"/>
        </w:rPr>
        <w:t>concretar</w:t>
      </w:r>
      <w:r w:rsidRPr="00030313">
        <w:rPr>
          <w:rFonts w:ascii="Times New Roman" w:hAnsi="Times New Roman"/>
          <w:bCs/>
          <w:iCs/>
          <w:spacing w:val="5"/>
          <w:sz w:val="28"/>
        </w:rPr>
        <w:t xml:space="preserve"> los recursos pertinentes para </w:t>
      </w:r>
      <w:r w:rsidRPr="00030313">
        <w:rPr>
          <w:rFonts w:ascii="Times New Roman" w:hAnsi="Times New Roman"/>
          <w:bCs/>
          <w:iCs/>
          <w:spacing w:val="5"/>
          <w:sz w:val="28"/>
        </w:rPr>
        <w:t xml:space="preserve">que la entidad accionada adopte </w:t>
      </w:r>
      <w:r w:rsidRPr="00030313">
        <w:rPr>
          <w:rFonts w:ascii="Times New Roman" w:hAnsi="Times New Roman"/>
          <w:bCs/>
          <w:iCs/>
          <w:spacing w:val="5"/>
          <w:sz w:val="28"/>
        </w:rPr>
        <w:t>en su</w:t>
      </w:r>
      <w:r w:rsidRPr="00030313">
        <w:rPr>
          <w:rFonts w:ascii="Times New Roman" w:hAnsi="Times New Roman"/>
          <w:bCs/>
          <w:iCs/>
          <w:spacing w:val="5"/>
          <w:sz w:val="28"/>
        </w:rPr>
        <w:t xml:space="preserve"> sistema inform</w:t>
      </w:r>
      <w:r w:rsidRPr="00030313">
        <w:rPr>
          <w:rFonts w:ascii="Times New Roman" w:hAnsi="Times New Roman"/>
          <w:bCs/>
          <w:iCs/>
          <w:spacing w:val="5"/>
          <w:sz w:val="28"/>
        </w:rPr>
        <w:t xml:space="preserve">ático </w:t>
      </w:r>
      <w:r w:rsidRPr="00030313">
        <w:rPr>
          <w:rFonts w:ascii="Times New Roman" w:hAnsi="Times New Roman"/>
          <w:bCs/>
          <w:iCs/>
          <w:spacing w:val="5"/>
          <w:sz w:val="28"/>
        </w:rPr>
        <w:t>las herramientas técnicas que le permitan implementar el marcador de sexo “No Binario”</w:t>
      </w:r>
      <w:r w:rsidRPr="00030313">
        <w:rPr>
          <w:rFonts w:ascii="Times New Roman" w:hAnsi="Times New Roman"/>
          <w:bCs/>
          <w:iCs/>
          <w:spacing w:val="5"/>
          <w:sz w:val="28"/>
        </w:rPr>
        <w:t xml:space="preserve"> en la cédula de ciudadanía digital</w:t>
      </w:r>
      <w:r w:rsidRPr="00030313">
        <w:rPr>
          <w:rFonts w:ascii="Times New Roman" w:hAnsi="Times New Roman"/>
          <w:bCs/>
          <w:iCs/>
          <w:spacing w:val="5"/>
          <w:sz w:val="28"/>
        </w:rPr>
        <w:t xml:space="preserve">. Lo anterior, con el fin de que </w:t>
      </w:r>
      <w:r w:rsidRPr="00030313">
        <w:rPr>
          <w:rFonts w:ascii="Times New Roman" w:hAnsi="Times New Roman"/>
          <w:bCs/>
          <w:iCs/>
          <w:spacing w:val="5"/>
          <w:sz w:val="28"/>
        </w:rPr>
        <w:t>se expida</w:t>
      </w:r>
      <w:r w:rsidRPr="00030313">
        <w:rPr>
          <w:rFonts w:ascii="Times New Roman" w:hAnsi="Times New Roman"/>
          <w:bCs/>
          <w:iCs/>
          <w:spacing w:val="5"/>
          <w:sz w:val="28"/>
        </w:rPr>
        <w:t xml:space="preserve"> dicho documento a favor de la persona accionante dentro del mes siguiente a que se implement</w:t>
      </w:r>
      <w:r w:rsidRPr="00030313">
        <w:rPr>
          <w:rFonts w:ascii="Times New Roman" w:hAnsi="Times New Roman"/>
          <w:bCs/>
          <w:iCs/>
          <w:spacing w:val="5"/>
          <w:sz w:val="28"/>
        </w:rPr>
        <w:t>e</w:t>
      </w:r>
      <w:r w:rsidRPr="00030313">
        <w:rPr>
          <w:rFonts w:ascii="Times New Roman" w:hAnsi="Times New Roman"/>
          <w:bCs/>
          <w:iCs/>
          <w:spacing w:val="5"/>
          <w:sz w:val="28"/>
        </w:rPr>
        <w:t xml:space="preserve"> </w:t>
      </w:r>
      <w:r w:rsidRPr="00030313">
        <w:rPr>
          <w:rFonts w:ascii="Times New Roman" w:hAnsi="Times New Roman"/>
          <w:bCs/>
          <w:iCs/>
          <w:spacing w:val="5"/>
          <w:sz w:val="28"/>
        </w:rPr>
        <w:t xml:space="preserve">el marcador no binario. En cualquier caso, la expedición del documento no podrá superar los </w:t>
      </w:r>
      <w:r w:rsidRPr="00030313">
        <w:rPr>
          <w:rFonts w:ascii="Times New Roman" w:hAnsi="Times New Roman"/>
          <w:bCs/>
          <w:iCs/>
          <w:spacing w:val="5"/>
          <w:sz w:val="28"/>
        </w:rPr>
        <w:t>seis meses.</w:t>
      </w:r>
      <w:r w:rsidRPr="00030313">
        <w:rPr>
          <w:rFonts w:ascii="Times New Roman" w:hAnsi="Times New Roman"/>
          <w:bCs/>
          <w:iCs/>
          <w:spacing w:val="5"/>
          <w:sz w:val="28"/>
        </w:rPr>
        <w:t xml:space="preserve"> Ahora bien, dado que</w:t>
      </w:r>
      <w:r w:rsidRPr="00030313">
        <w:rPr>
          <w:rFonts w:ascii="Times New Roman" w:hAnsi="Times New Roman"/>
          <w:bCs/>
          <w:iCs/>
          <w:spacing w:val="5"/>
          <w:sz w:val="28"/>
        </w:rPr>
        <w:t xml:space="preserve"> el numeral 5 del artículo 3 del Decreto 1893 de 2021</w:t>
      </w:r>
      <w:r w:rsidRPr="00030313">
        <w:rPr>
          <w:rFonts w:ascii="Times New Roman" w:hAnsi="Times New Roman"/>
          <w:bCs/>
          <w:iCs/>
          <w:spacing w:val="5"/>
          <w:sz w:val="28"/>
        </w:rPr>
        <w:t xml:space="preserve"> dispuso que</w:t>
      </w:r>
      <w:r w:rsidRPr="00030313">
        <w:rPr>
          <w:rFonts w:ascii="Times New Roman" w:hAnsi="Times New Roman"/>
          <w:bCs/>
          <w:iCs/>
          <w:spacing w:val="5"/>
          <w:sz w:val="28"/>
        </w:rPr>
        <w:t xml:space="preserve"> el Departamento Nacional de Planeación </w:t>
      </w:r>
      <w:r w:rsidRPr="00030313">
        <w:rPr>
          <w:rFonts w:ascii="Times New Roman" w:hAnsi="Times New Roman"/>
          <w:bCs/>
          <w:iCs/>
          <w:spacing w:val="5"/>
          <w:sz w:val="28"/>
        </w:rPr>
        <w:t>tiene la función de “</w:t>
      </w:r>
      <w:r w:rsidRPr="00030313">
        <w:rPr>
          <w:rFonts w:ascii="Times New Roman" w:hAnsi="Times New Roman"/>
          <w:bCs/>
          <w:i/>
          <w:spacing w:val="5"/>
          <w:sz w:val="28"/>
        </w:rPr>
        <w:t>[c]</w:t>
      </w:r>
      <w:r w:rsidRPr="00030313">
        <w:rPr>
          <w:rFonts w:ascii="Times New Roman" w:hAnsi="Times New Roman"/>
          <w:bCs/>
          <w:i/>
          <w:spacing w:val="5"/>
          <w:sz w:val="28"/>
        </w:rPr>
        <w:t>oordinar y apoyar la planeación de corto, mediano y largo plazo de los sectores, que orienten la definición de políticas públicas y la priorización de los recursos de inversión, entre otros, provenientes del Presupuesto General de la Nación y los del Siste</w:t>
      </w:r>
      <w:r w:rsidRPr="00030313">
        <w:rPr>
          <w:rFonts w:ascii="Times New Roman" w:hAnsi="Times New Roman"/>
          <w:bCs/>
          <w:i/>
          <w:spacing w:val="5"/>
          <w:sz w:val="28"/>
        </w:rPr>
        <w:t>ma General de Regalías”</w:t>
      </w:r>
      <w:r w:rsidRPr="00030313">
        <w:rPr>
          <w:rFonts w:ascii="Times New Roman" w:hAnsi="Times New Roman"/>
          <w:bCs/>
          <w:iCs/>
          <w:spacing w:val="5"/>
          <w:sz w:val="28"/>
        </w:rPr>
        <w:t xml:space="preserve">, esta Sala </w:t>
      </w:r>
      <w:r w:rsidRPr="00030313">
        <w:rPr>
          <w:rFonts w:ascii="Times New Roman" w:hAnsi="Times New Roman"/>
          <w:bCs/>
          <w:iCs/>
          <w:spacing w:val="5"/>
          <w:sz w:val="28"/>
        </w:rPr>
        <w:t>puede proferi</w:t>
      </w:r>
      <w:r w:rsidRPr="00030313">
        <w:rPr>
          <w:rFonts w:ascii="Times New Roman" w:hAnsi="Times New Roman"/>
          <w:bCs/>
          <w:iCs/>
          <w:spacing w:val="5"/>
          <w:sz w:val="28"/>
        </w:rPr>
        <w:t>r la orden aludida para que trabaje de forma coordinada con la Registraduría Nacional del Estado Civil</w:t>
      </w:r>
      <w:r w:rsidRPr="00030313">
        <w:rPr>
          <w:rFonts w:ascii="Times New Roman" w:hAnsi="Times New Roman"/>
          <w:bCs/>
          <w:iCs/>
          <w:spacing w:val="5"/>
          <w:sz w:val="28"/>
        </w:rPr>
        <w:t>, dadas sus obligaciones de carácter lega</w:t>
      </w:r>
      <w:r w:rsidRPr="00030313">
        <w:rPr>
          <w:rFonts w:ascii="Times New Roman" w:hAnsi="Times New Roman"/>
          <w:bCs/>
          <w:iCs/>
          <w:spacing w:val="5"/>
          <w:sz w:val="28"/>
        </w:rPr>
        <w:t>l</w:t>
      </w:r>
      <w:r w:rsidRPr="00030313">
        <w:rPr>
          <w:rFonts w:ascii="Times New Roman" w:hAnsi="Times New Roman"/>
          <w:bCs/>
          <w:iCs/>
          <w:spacing w:val="5"/>
          <w:sz w:val="28"/>
        </w:rPr>
        <w:t>, a pesar de que la entidad no hubiera estado formalmente vincul</w:t>
      </w:r>
      <w:r w:rsidRPr="00030313">
        <w:rPr>
          <w:rFonts w:ascii="Times New Roman" w:hAnsi="Times New Roman"/>
          <w:bCs/>
          <w:iCs/>
          <w:spacing w:val="5"/>
          <w:sz w:val="28"/>
        </w:rPr>
        <w:t>ada al proceso</w:t>
      </w:r>
      <w:r w:rsidRPr="00030313">
        <w:rPr>
          <w:rStyle w:val="Refdenotaalpie"/>
          <w:rFonts w:ascii="Times New Roman" w:hAnsi="Times New Roman"/>
          <w:bCs/>
          <w:iCs/>
          <w:spacing w:val="5"/>
          <w:sz w:val="28"/>
        </w:rPr>
        <w:footnoteReference w:id="93"/>
      </w:r>
      <w:r w:rsidRPr="00030313">
        <w:rPr>
          <w:rFonts w:ascii="Times New Roman" w:hAnsi="Times New Roman"/>
          <w:bCs/>
          <w:iCs/>
          <w:spacing w:val="5"/>
          <w:sz w:val="28"/>
        </w:rPr>
        <w:t xml:space="preserve">. </w:t>
      </w:r>
    </w:p>
    <w:p w:rsidR="00624224" w:rsidRPr="00030313" w:rsidRDefault="00030313" w:rsidP="00C61937">
      <w:pPr>
        <w:ind w:right="51"/>
        <w:jc w:val="both"/>
        <w:rPr>
          <w:rFonts w:ascii="Times New Roman" w:hAnsi="Times New Roman"/>
          <w:b/>
          <w:iCs/>
          <w:spacing w:val="5"/>
          <w:sz w:val="28"/>
        </w:rPr>
      </w:pPr>
    </w:p>
    <w:p w:rsidR="00253CB4" w:rsidRPr="00030313" w:rsidRDefault="00030313" w:rsidP="00C61937">
      <w:pPr>
        <w:numPr>
          <w:ilvl w:val="0"/>
          <w:numId w:val="6"/>
        </w:numPr>
        <w:ind w:left="0" w:right="51" w:firstLine="0"/>
        <w:jc w:val="both"/>
        <w:rPr>
          <w:rFonts w:ascii="Times New Roman" w:hAnsi="Times New Roman"/>
          <w:b/>
          <w:iCs/>
          <w:spacing w:val="5"/>
          <w:sz w:val="28"/>
        </w:rPr>
      </w:pPr>
      <w:r w:rsidRPr="00030313">
        <w:rPr>
          <w:rFonts w:ascii="Times New Roman" w:hAnsi="Times New Roman"/>
          <w:bCs/>
          <w:iCs/>
          <w:spacing w:val="5"/>
          <w:sz w:val="28"/>
        </w:rPr>
        <w:t xml:space="preserve">Finalmente, se </w:t>
      </w:r>
      <w:r w:rsidRPr="00030313">
        <w:rPr>
          <w:rFonts w:ascii="Times New Roman" w:hAnsi="Times New Roman"/>
          <w:bCs/>
          <w:iCs/>
          <w:spacing w:val="5"/>
          <w:sz w:val="28"/>
        </w:rPr>
        <w:t xml:space="preserve">reiterará el exhorto al Congreso de la República </w:t>
      </w:r>
      <w:r w:rsidRPr="00030313">
        <w:rPr>
          <w:rFonts w:ascii="Times New Roman" w:hAnsi="Times New Roman"/>
          <w:bCs/>
          <w:iCs/>
          <w:spacing w:val="5"/>
          <w:sz w:val="28"/>
        </w:rPr>
        <w:t>previsto en</w:t>
      </w:r>
      <w:r w:rsidRPr="00030313">
        <w:rPr>
          <w:rFonts w:ascii="Times New Roman" w:hAnsi="Times New Roman"/>
          <w:bCs/>
          <w:iCs/>
          <w:spacing w:val="5"/>
          <w:sz w:val="28"/>
        </w:rPr>
        <w:t xml:space="preserve"> el </w:t>
      </w:r>
      <w:r w:rsidRPr="00030313">
        <w:rPr>
          <w:rFonts w:ascii="Times New Roman" w:hAnsi="Times New Roman"/>
          <w:bCs/>
          <w:iCs/>
          <w:spacing w:val="5"/>
          <w:sz w:val="28"/>
        </w:rPr>
        <w:t xml:space="preserve">resolutivo sexto de la Sentencia T-033 de 2022. </w:t>
      </w:r>
    </w:p>
    <w:p w:rsidR="00C36B4C" w:rsidRPr="00030313" w:rsidRDefault="00030313" w:rsidP="00C61937">
      <w:pPr>
        <w:rPr>
          <w:rFonts w:ascii="Times New Roman" w:hAnsi="Times New Roman"/>
          <w:sz w:val="28"/>
        </w:rPr>
      </w:pPr>
    </w:p>
    <w:p w:rsidR="00C36B4C" w:rsidRPr="00030313" w:rsidRDefault="00030313" w:rsidP="00C61937">
      <w:pPr>
        <w:rPr>
          <w:rFonts w:ascii="Times New Roman" w:hAnsi="Times New Roman"/>
          <w:sz w:val="28"/>
        </w:rPr>
      </w:pPr>
    </w:p>
    <w:p w:rsidR="00C36B4C" w:rsidRPr="00030313" w:rsidRDefault="00030313" w:rsidP="00C61937">
      <w:pPr>
        <w:pStyle w:val="Ttulo1"/>
        <w:numPr>
          <w:ilvl w:val="0"/>
          <w:numId w:val="5"/>
        </w:numPr>
        <w:rPr>
          <w:rFonts w:ascii="Times New Roman" w:hAnsi="Times New Roman"/>
          <w:sz w:val="28"/>
        </w:rPr>
      </w:pPr>
      <w:bookmarkStart w:id="18" w:name="_Toc183628568"/>
      <w:r w:rsidRPr="00030313">
        <w:rPr>
          <w:rFonts w:ascii="Times New Roman" w:hAnsi="Times New Roman"/>
          <w:sz w:val="28"/>
        </w:rPr>
        <w:t>DECISIÓN</w:t>
      </w:r>
      <w:bookmarkEnd w:id="18"/>
      <w:r w:rsidRPr="00030313">
        <w:rPr>
          <w:rFonts w:ascii="Times New Roman" w:hAnsi="Times New Roman"/>
          <w:sz w:val="28"/>
        </w:rPr>
        <w:t xml:space="preserve"> </w:t>
      </w:r>
    </w:p>
    <w:p w:rsidR="00C36B4C" w:rsidRPr="00030313" w:rsidRDefault="00030313" w:rsidP="00C61937">
      <w:pPr>
        <w:rPr>
          <w:rFonts w:ascii="Times New Roman" w:hAnsi="Times New Roman"/>
          <w:b/>
          <w:bCs/>
          <w:sz w:val="28"/>
        </w:rPr>
      </w:pPr>
    </w:p>
    <w:p w:rsidR="00C36B4C" w:rsidRPr="00030313" w:rsidRDefault="00030313" w:rsidP="00C61937">
      <w:pPr>
        <w:pStyle w:val="Prrafodelista"/>
        <w:tabs>
          <w:tab w:val="left" w:pos="284"/>
        </w:tabs>
        <w:ind w:left="0"/>
        <w:jc w:val="both"/>
        <w:rPr>
          <w:rFonts w:ascii="Times New Roman" w:hAnsi="Times New Roman"/>
          <w:sz w:val="28"/>
        </w:rPr>
      </w:pPr>
      <w:r w:rsidRPr="00030313">
        <w:rPr>
          <w:rFonts w:ascii="Times New Roman" w:hAnsi="Times New Roman"/>
          <w:sz w:val="28"/>
        </w:rPr>
        <w:t xml:space="preserve">En mérito de lo expuesto, </w:t>
      </w:r>
      <w:r w:rsidRPr="00030313">
        <w:rPr>
          <w:rFonts w:ascii="Times New Roman" w:hAnsi="Times New Roman"/>
          <w:sz w:val="28"/>
          <w:bdr w:val="none" w:sz="0" w:space="0" w:color="auto" w:frame="1"/>
        </w:rPr>
        <w:t xml:space="preserve">la Sala Quinta de Revisión de la Corte Constitucional, administrando </w:t>
      </w:r>
      <w:r w:rsidRPr="00030313">
        <w:rPr>
          <w:rFonts w:ascii="Times New Roman" w:hAnsi="Times New Roman"/>
          <w:sz w:val="28"/>
          <w:bdr w:val="none" w:sz="0" w:space="0" w:color="auto" w:frame="1"/>
        </w:rPr>
        <w:t>justicia en nombre del pueblo y por mandato de la Constitución Política</w:t>
      </w:r>
      <w:r w:rsidRPr="00030313">
        <w:rPr>
          <w:rFonts w:ascii="Times New Roman" w:hAnsi="Times New Roman"/>
          <w:sz w:val="28"/>
        </w:rPr>
        <w:t>,</w:t>
      </w:r>
    </w:p>
    <w:p w:rsidR="00C36B4C" w:rsidRPr="00030313" w:rsidRDefault="00030313" w:rsidP="00C61937">
      <w:pPr>
        <w:pStyle w:val="Prrafodelista"/>
        <w:tabs>
          <w:tab w:val="left" w:pos="284"/>
        </w:tabs>
        <w:ind w:left="0"/>
        <w:jc w:val="both"/>
        <w:rPr>
          <w:rFonts w:ascii="Times New Roman" w:hAnsi="Times New Roman"/>
          <w:sz w:val="28"/>
        </w:rPr>
      </w:pPr>
    </w:p>
    <w:p w:rsidR="00C36B4C" w:rsidRPr="00030313" w:rsidRDefault="00030313" w:rsidP="00C61937">
      <w:pPr>
        <w:pStyle w:val="Prrafodelista"/>
        <w:tabs>
          <w:tab w:val="left" w:pos="284"/>
        </w:tabs>
        <w:ind w:left="0"/>
        <w:jc w:val="both"/>
        <w:rPr>
          <w:rFonts w:ascii="Times New Roman" w:hAnsi="Times New Roman"/>
          <w:sz w:val="28"/>
        </w:rPr>
      </w:pPr>
    </w:p>
    <w:p w:rsidR="00C36B4C" w:rsidRPr="00030313" w:rsidRDefault="00030313" w:rsidP="00C61937">
      <w:pPr>
        <w:pStyle w:val="Prrafodelista"/>
        <w:tabs>
          <w:tab w:val="left" w:pos="284"/>
        </w:tabs>
        <w:ind w:left="0"/>
        <w:jc w:val="center"/>
        <w:rPr>
          <w:rFonts w:ascii="Times New Roman" w:hAnsi="Times New Roman"/>
          <w:b/>
          <w:bCs/>
          <w:sz w:val="28"/>
        </w:rPr>
      </w:pPr>
      <w:r w:rsidRPr="00030313">
        <w:rPr>
          <w:rFonts w:ascii="Times New Roman" w:hAnsi="Times New Roman"/>
          <w:b/>
          <w:bCs/>
          <w:sz w:val="28"/>
        </w:rPr>
        <w:t>RESUELVE</w:t>
      </w:r>
    </w:p>
    <w:p w:rsidR="00C36B4C" w:rsidRPr="00030313" w:rsidRDefault="00030313" w:rsidP="00C61937">
      <w:pPr>
        <w:pStyle w:val="Prrafodelista"/>
        <w:tabs>
          <w:tab w:val="left" w:pos="284"/>
        </w:tabs>
        <w:ind w:left="0"/>
        <w:jc w:val="center"/>
        <w:rPr>
          <w:rFonts w:ascii="Times New Roman" w:hAnsi="Times New Roman"/>
          <w:b/>
          <w:bCs/>
          <w:sz w:val="28"/>
        </w:rPr>
      </w:pPr>
    </w:p>
    <w:p w:rsidR="00C36B4C" w:rsidRPr="00030313" w:rsidRDefault="00030313" w:rsidP="00C61937">
      <w:pPr>
        <w:pStyle w:val="Prrafodelista"/>
        <w:ind w:left="0"/>
        <w:jc w:val="both"/>
        <w:rPr>
          <w:rFonts w:ascii="Times New Roman" w:hAnsi="Times New Roman"/>
          <w:bCs/>
          <w:iCs/>
          <w:spacing w:val="5"/>
          <w:sz w:val="28"/>
        </w:rPr>
      </w:pPr>
    </w:p>
    <w:p w:rsidR="00471391" w:rsidRPr="00030313" w:rsidRDefault="00030313" w:rsidP="00C61937">
      <w:pPr>
        <w:pStyle w:val="Prrafodelista"/>
        <w:ind w:left="0"/>
        <w:jc w:val="both"/>
        <w:rPr>
          <w:rFonts w:ascii="Times New Roman" w:hAnsi="Times New Roman"/>
          <w:sz w:val="28"/>
        </w:rPr>
      </w:pPr>
      <w:r w:rsidRPr="00030313">
        <w:rPr>
          <w:rFonts w:ascii="Times New Roman" w:hAnsi="Times New Roman"/>
          <w:b/>
          <w:bCs/>
          <w:sz w:val="28"/>
          <w:bdr w:val="none" w:sz="0" w:space="0" w:color="auto" w:frame="1"/>
        </w:rPr>
        <w:t>P</w:t>
      </w:r>
      <w:r w:rsidRPr="00030313">
        <w:rPr>
          <w:rFonts w:ascii="Times New Roman" w:hAnsi="Times New Roman"/>
          <w:b/>
          <w:bCs/>
          <w:sz w:val="28"/>
          <w:bdr w:val="none" w:sz="0" w:space="0" w:color="auto" w:frame="1"/>
        </w:rPr>
        <w:t>RIMERO</w:t>
      </w:r>
      <w:r w:rsidRPr="00030313">
        <w:rPr>
          <w:rFonts w:ascii="Times New Roman" w:hAnsi="Times New Roman"/>
          <w:b/>
          <w:sz w:val="28"/>
        </w:rPr>
        <w:t>.</w:t>
      </w:r>
      <w:r w:rsidRPr="00030313">
        <w:rPr>
          <w:rFonts w:ascii="Times New Roman" w:hAnsi="Times New Roman"/>
          <w:sz w:val="28"/>
        </w:rPr>
        <w:t xml:space="preserve"> </w:t>
      </w:r>
      <w:r w:rsidRPr="00030313">
        <w:rPr>
          <w:rFonts w:ascii="Times New Roman" w:hAnsi="Times New Roman"/>
          <w:b/>
          <w:bCs/>
          <w:sz w:val="28"/>
        </w:rPr>
        <w:t>REVOCAR</w:t>
      </w:r>
      <w:r w:rsidRPr="00030313">
        <w:rPr>
          <w:rFonts w:ascii="Times New Roman" w:hAnsi="Times New Roman"/>
          <w:b/>
          <w:bCs/>
          <w:sz w:val="28"/>
        </w:rPr>
        <w:t xml:space="preserve"> PARCIALMENTE</w:t>
      </w:r>
      <w:r w:rsidRPr="00030313">
        <w:rPr>
          <w:rFonts w:ascii="Times New Roman" w:hAnsi="Times New Roman"/>
          <w:b/>
          <w:bCs/>
          <w:sz w:val="28"/>
        </w:rPr>
        <w:t xml:space="preserve"> </w:t>
      </w:r>
      <w:r w:rsidRPr="00030313">
        <w:rPr>
          <w:rFonts w:ascii="Times New Roman" w:hAnsi="Times New Roman"/>
          <w:sz w:val="28"/>
        </w:rPr>
        <w:t xml:space="preserve">el fallo de tutela proferido el </w:t>
      </w:r>
      <w:r w:rsidRPr="00030313">
        <w:rPr>
          <w:rFonts w:ascii="Times New Roman" w:hAnsi="Times New Roman"/>
          <w:sz w:val="28"/>
        </w:rPr>
        <w:t>8</w:t>
      </w:r>
      <w:r w:rsidRPr="00030313">
        <w:rPr>
          <w:rFonts w:ascii="Times New Roman" w:hAnsi="Times New Roman"/>
          <w:sz w:val="28"/>
        </w:rPr>
        <w:t xml:space="preserve"> de </w:t>
      </w:r>
      <w:r w:rsidRPr="00030313">
        <w:rPr>
          <w:rFonts w:ascii="Times New Roman" w:hAnsi="Times New Roman"/>
          <w:sz w:val="28"/>
        </w:rPr>
        <w:t>marzo</w:t>
      </w:r>
      <w:r w:rsidRPr="00030313">
        <w:rPr>
          <w:rFonts w:ascii="Times New Roman" w:hAnsi="Times New Roman"/>
          <w:sz w:val="28"/>
        </w:rPr>
        <w:t xml:space="preserve"> de 2024 por el </w:t>
      </w:r>
      <w:r w:rsidRPr="00030313">
        <w:rPr>
          <w:rFonts w:ascii="Times New Roman" w:hAnsi="Times New Roman"/>
          <w:sz w:val="28"/>
        </w:rPr>
        <w:t xml:space="preserve">Juzgado </w:t>
      </w:r>
      <w:r w:rsidRPr="00030313">
        <w:rPr>
          <w:rFonts w:ascii="Times New Roman" w:hAnsi="Times New Roman"/>
          <w:sz w:val="28"/>
        </w:rPr>
        <w:t>0</w:t>
      </w:r>
      <w:r w:rsidRPr="00030313">
        <w:rPr>
          <w:rFonts w:ascii="Times New Roman" w:hAnsi="Times New Roman"/>
          <w:sz w:val="28"/>
        </w:rPr>
        <w:t>15 Administrativo del Circuito Judicial de Bogotá, Sección Segunda</w:t>
      </w:r>
      <w:r w:rsidRPr="00030313">
        <w:rPr>
          <w:rFonts w:ascii="Times New Roman" w:hAnsi="Times New Roman"/>
          <w:sz w:val="28"/>
        </w:rPr>
        <w:t xml:space="preserve">, en el marco de la acción de tutela presentada por </w:t>
      </w:r>
      <w:r w:rsidRPr="00030313">
        <w:rPr>
          <w:rFonts w:ascii="Times New Roman" w:hAnsi="Times New Roman"/>
          <w:i/>
          <w:iCs/>
          <w:sz w:val="28"/>
        </w:rPr>
        <w:t>Sergio</w:t>
      </w:r>
      <w:r w:rsidRPr="00030313">
        <w:rPr>
          <w:rFonts w:ascii="Times New Roman" w:hAnsi="Times New Roman"/>
          <w:sz w:val="28"/>
        </w:rPr>
        <w:t xml:space="preserve">, </w:t>
      </w:r>
      <w:r w:rsidRPr="00030313">
        <w:rPr>
          <w:rFonts w:ascii="Times New Roman" w:hAnsi="Times New Roman"/>
          <w:sz w:val="28"/>
        </w:rPr>
        <w:t xml:space="preserve">y, en su lugar, </w:t>
      </w:r>
      <w:r w:rsidRPr="00030313">
        <w:rPr>
          <w:rFonts w:ascii="Times New Roman" w:hAnsi="Times New Roman"/>
          <w:b/>
          <w:bCs/>
          <w:sz w:val="28"/>
        </w:rPr>
        <w:t>TUTELAR</w:t>
      </w:r>
      <w:r w:rsidRPr="00030313">
        <w:rPr>
          <w:rFonts w:ascii="Times New Roman" w:hAnsi="Times New Roman"/>
          <w:sz w:val="28"/>
        </w:rPr>
        <w:t xml:space="preserve"> los derechos fundamentales a la igualdad, a</w:t>
      </w:r>
      <w:r w:rsidRPr="00030313">
        <w:rPr>
          <w:rFonts w:ascii="Times New Roman" w:hAnsi="Times New Roman"/>
          <w:sz w:val="28"/>
        </w:rPr>
        <w:t>l libre desarrollo de la personalidad y a la identidad de género,</w:t>
      </w:r>
      <w:r w:rsidRPr="00030313">
        <w:rPr>
          <w:rFonts w:ascii="Times New Roman" w:hAnsi="Times New Roman"/>
          <w:sz w:val="28"/>
        </w:rPr>
        <w:t xml:space="preserve"> </w:t>
      </w:r>
      <w:r w:rsidRPr="00030313">
        <w:rPr>
          <w:rFonts w:ascii="Times New Roman" w:hAnsi="Times New Roman"/>
          <w:sz w:val="28"/>
        </w:rPr>
        <w:t>por las consideraciones resaltadas en la parte motiva de esta p</w:t>
      </w:r>
      <w:r w:rsidRPr="00030313">
        <w:rPr>
          <w:rFonts w:ascii="Times New Roman" w:hAnsi="Times New Roman"/>
          <w:sz w:val="28"/>
        </w:rPr>
        <w:t xml:space="preserve">rovidencia. </w:t>
      </w:r>
      <w:r w:rsidRPr="00030313">
        <w:rPr>
          <w:rFonts w:ascii="Times New Roman" w:hAnsi="Times New Roman"/>
          <w:sz w:val="28"/>
        </w:rPr>
        <w:t xml:space="preserve">A su vez, </w:t>
      </w:r>
      <w:r w:rsidRPr="00030313">
        <w:rPr>
          <w:rFonts w:ascii="Times New Roman" w:hAnsi="Times New Roman"/>
          <w:b/>
          <w:bCs/>
          <w:sz w:val="28"/>
        </w:rPr>
        <w:t xml:space="preserve">CONFIRMAR PARCIALMENTE </w:t>
      </w:r>
      <w:r w:rsidRPr="00030313">
        <w:rPr>
          <w:rFonts w:ascii="Times New Roman" w:hAnsi="Times New Roman"/>
          <w:sz w:val="28"/>
        </w:rPr>
        <w:t xml:space="preserve">el fallo de tutela proferido el 8 de marzo de 2024 por el Juzgado </w:t>
      </w:r>
      <w:r w:rsidRPr="00030313">
        <w:rPr>
          <w:rFonts w:ascii="Times New Roman" w:hAnsi="Times New Roman"/>
          <w:sz w:val="28"/>
        </w:rPr>
        <w:t>0</w:t>
      </w:r>
      <w:r w:rsidRPr="00030313">
        <w:rPr>
          <w:rFonts w:ascii="Times New Roman" w:hAnsi="Times New Roman"/>
          <w:sz w:val="28"/>
        </w:rPr>
        <w:t>15 Administrativo del Circuito Judicial de Bogotá, Sección Segunda, en lo relativo a negar la tutela de los derechos fundamentales a</w:t>
      </w:r>
      <w:r w:rsidRPr="00030313">
        <w:rPr>
          <w:rFonts w:ascii="Times New Roman" w:hAnsi="Times New Roman"/>
          <w:sz w:val="28"/>
        </w:rPr>
        <w:t xml:space="preserve">l </w:t>
      </w:r>
      <w:r w:rsidRPr="00030313">
        <w:rPr>
          <w:rFonts w:ascii="Times New Roman" w:hAnsi="Times New Roman"/>
          <w:sz w:val="28"/>
        </w:rPr>
        <w:t>libre</w:t>
      </w:r>
      <w:r w:rsidRPr="00030313">
        <w:rPr>
          <w:rFonts w:ascii="Times New Roman" w:hAnsi="Times New Roman"/>
          <w:sz w:val="28"/>
        </w:rPr>
        <w:t xml:space="preserve"> desa</w:t>
      </w:r>
      <w:r w:rsidRPr="00030313">
        <w:rPr>
          <w:rFonts w:ascii="Times New Roman" w:hAnsi="Times New Roman"/>
          <w:sz w:val="28"/>
        </w:rPr>
        <w:t>rrollo de</w:t>
      </w:r>
      <w:r w:rsidRPr="00030313">
        <w:rPr>
          <w:rFonts w:ascii="Times New Roman" w:hAnsi="Times New Roman"/>
          <w:sz w:val="28"/>
        </w:rPr>
        <w:t xml:space="preserve"> la personalidad y a la libre circulación, por las consideraciones expuestas en esta providencia. </w:t>
      </w:r>
    </w:p>
    <w:p w:rsidR="00BC4C8E" w:rsidRPr="00030313" w:rsidRDefault="00030313" w:rsidP="00C61937">
      <w:pPr>
        <w:pStyle w:val="Prrafodelista"/>
        <w:ind w:left="0"/>
        <w:jc w:val="both"/>
        <w:rPr>
          <w:rFonts w:ascii="Times New Roman" w:hAnsi="Times New Roman"/>
          <w:sz w:val="28"/>
        </w:rPr>
      </w:pPr>
    </w:p>
    <w:p w:rsidR="00CC65BB" w:rsidRPr="00030313" w:rsidRDefault="00030313" w:rsidP="00C61937">
      <w:pPr>
        <w:ind w:right="51"/>
        <w:jc w:val="both"/>
        <w:rPr>
          <w:rFonts w:ascii="Times New Roman" w:hAnsi="Times New Roman"/>
          <w:b/>
          <w:iCs/>
          <w:spacing w:val="5"/>
          <w:sz w:val="28"/>
        </w:rPr>
      </w:pPr>
      <w:r w:rsidRPr="00030313">
        <w:rPr>
          <w:rFonts w:ascii="Times New Roman" w:hAnsi="Times New Roman"/>
          <w:b/>
          <w:bCs/>
          <w:sz w:val="28"/>
        </w:rPr>
        <w:t>S</w:t>
      </w:r>
      <w:r w:rsidRPr="00030313">
        <w:rPr>
          <w:rFonts w:ascii="Times New Roman" w:hAnsi="Times New Roman"/>
          <w:b/>
          <w:bCs/>
          <w:sz w:val="28"/>
        </w:rPr>
        <w:t>EGUNDO</w:t>
      </w:r>
      <w:r w:rsidRPr="00030313">
        <w:rPr>
          <w:rFonts w:ascii="Times New Roman" w:hAnsi="Times New Roman"/>
          <w:b/>
          <w:bCs/>
          <w:sz w:val="28"/>
        </w:rPr>
        <w:t xml:space="preserve">. </w:t>
      </w:r>
      <w:r w:rsidRPr="00030313">
        <w:rPr>
          <w:rFonts w:ascii="Times New Roman" w:hAnsi="Times New Roman"/>
          <w:b/>
          <w:bCs/>
          <w:sz w:val="28"/>
        </w:rPr>
        <w:t xml:space="preserve">ORDENAR </w:t>
      </w:r>
      <w:r w:rsidRPr="00030313">
        <w:rPr>
          <w:rFonts w:ascii="Times New Roman" w:hAnsi="Times New Roman"/>
          <w:sz w:val="28"/>
        </w:rPr>
        <w:t>a</w:t>
      </w:r>
      <w:r w:rsidRPr="00030313">
        <w:rPr>
          <w:rFonts w:ascii="Times New Roman" w:hAnsi="Times New Roman"/>
          <w:sz w:val="28"/>
        </w:rPr>
        <w:t xml:space="preserve"> la Registraduría Nacional del Estado Civil que</w:t>
      </w:r>
      <w:r w:rsidRPr="00030313">
        <w:rPr>
          <w:rFonts w:ascii="Times New Roman" w:hAnsi="Times New Roman"/>
          <w:sz w:val="28"/>
        </w:rPr>
        <w:t>,</w:t>
      </w:r>
      <w:r w:rsidRPr="00030313">
        <w:rPr>
          <w:rFonts w:ascii="Times New Roman" w:hAnsi="Times New Roman"/>
          <w:sz w:val="28"/>
        </w:rPr>
        <w:t xml:space="preserve"> </w:t>
      </w:r>
      <w:r w:rsidRPr="00030313">
        <w:rPr>
          <w:rFonts w:ascii="Times New Roman" w:hAnsi="Times New Roman"/>
          <w:sz w:val="28"/>
        </w:rPr>
        <w:t>dentro</w:t>
      </w:r>
      <w:r w:rsidRPr="00030313">
        <w:rPr>
          <w:rFonts w:ascii="Times New Roman" w:hAnsi="Times New Roman"/>
          <w:sz w:val="28"/>
        </w:rPr>
        <w:t xml:space="preserve"> de los </w:t>
      </w:r>
      <w:r w:rsidRPr="00030313">
        <w:rPr>
          <w:rFonts w:ascii="Times New Roman" w:hAnsi="Times New Roman"/>
          <w:sz w:val="28"/>
        </w:rPr>
        <w:t>tres</w:t>
      </w:r>
      <w:r w:rsidRPr="00030313">
        <w:rPr>
          <w:rFonts w:ascii="Times New Roman" w:hAnsi="Times New Roman"/>
          <w:sz w:val="28"/>
        </w:rPr>
        <w:t xml:space="preserve"> meses siguientes a la publicación de esta providencia</w:t>
      </w:r>
      <w:r w:rsidRPr="00030313">
        <w:rPr>
          <w:rFonts w:ascii="Times New Roman" w:hAnsi="Times New Roman"/>
          <w:sz w:val="28"/>
        </w:rPr>
        <w:t xml:space="preserve"> y </w:t>
      </w:r>
      <w:r w:rsidRPr="00030313">
        <w:rPr>
          <w:rFonts w:ascii="Times New Roman" w:hAnsi="Times New Roman"/>
          <w:sz w:val="28"/>
        </w:rPr>
        <w:t>mientras la cédula de ciudadanía digital se encuentre vigente como mecanismo de identificación de las personas</w:t>
      </w:r>
      <w:r w:rsidRPr="00030313">
        <w:rPr>
          <w:rFonts w:ascii="Times New Roman" w:hAnsi="Times New Roman"/>
          <w:sz w:val="28"/>
        </w:rPr>
        <w:t xml:space="preserve">, realice de forma coordinada </w:t>
      </w:r>
      <w:r w:rsidRPr="00030313">
        <w:rPr>
          <w:rFonts w:ascii="Times New Roman" w:hAnsi="Times New Roman"/>
          <w:sz w:val="28"/>
        </w:rPr>
        <w:t xml:space="preserve">con el Departamento Nacional de Planeación </w:t>
      </w:r>
      <w:r w:rsidRPr="00030313">
        <w:rPr>
          <w:rFonts w:ascii="Times New Roman" w:hAnsi="Times New Roman"/>
          <w:sz w:val="28"/>
        </w:rPr>
        <w:t>las gestiones requeridas para implementar la actualización</w:t>
      </w:r>
      <w:r w:rsidRPr="00030313">
        <w:rPr>
          <w:rFonts w:ascii="Times New Roman" w:hAnsi="Times New Roman"/>
          <w:sz w:val="28"/>
        </w:rPr>
        <w:t xml:space="preserve"> informática</w:t>
      </w:r>
      <w:r w:rsidRPr="00030313">
        <w:rPr>
          <w:rFonts w:ascii="Times New Roman" w:hAnsi="Times New Roman"/>
          <w:sz w:val="28"/>
        </w:rPr>
        <w:t xml:space="preserve"> </w:t>
      </w:r>
      <w:r w:rsidRPr="00030313">
        <w:rPr>
          <w:rFonts w:ascii="Times New Roman" w:hAnsi="Times New Roman"/>
          <w:sz w:val="28"/>
        </w:rPr>
        <w:t>ne</w:t>
      </w:r>
      <w:r w:rsidRPr="00030313">
        <w:rPr>
          <w:rFonts w:ascii="Times New Roman" w:hAnsi="Times New Roman"/>
          <w:sz w:val="28"/>
        </w:rPr>
        <w:t xml:space="preserve">cesaria para </w:t>
      </w:r>
      <w:r w:rsidRPr="00030313">
        <w:rPr>
          <w:rFonts w:ascii="Times New Roman" w:hAnsi="Times New Roman"/>
          <w:sz w:val="28"/>
        </w:rPr>
        <w:t>contar con</w:t>
      </w:r>
      <w:r w:rsidRPr="00030313">
        <w:rPr>
          <w:rFonts w:ascii="Times New Roman" w:hAnsi="Times New Roman"/>
          <w:sz w:val="28"/>
        </w:rPr>
        <w:t xml:space="preserve"> un sistema que le garantice a las personas de género “No Binario” la expedición de su cédula de ciudadanía en formato digital con el marcador de sexo </w:t>
      </w:r>
      <w:r w:rsidRPr="00030313">
        <w:rPr>
          <w:rFonts w:ascii="Times New Roman" w:hAnsi="Times New Roman"/>
          <w:sz w:val="28"/>
        </w:rPr>
        <w:t xml:space="preserve">previamente señalado. </w:t>
      </w:r>
      <w:r w:rsidRPr="00030313">
        <w:rPr>
          <w:rFonts w:ascii="Times New Roman" w:hAnsi="Times New Roman"/>
          <w:bCs/>
          <w:iCs/>
          <w:spacing w:val="5"/>
          <w:sz w:val="28"/>
        </w:rPr>
        <w:t>Lo anterior, con el fin de que se expida dicho documento a f</w:t>
      </w:r>
      <w:r w:rsidRPr="00030313">
        <w:rPr>
          <w:rFonts w:ascii="Times New Roman" w:hAnsi="Times New Roman"/>
          <w:bCs/>
          <w:iCs/>
          <w:spacing w:val="5"/>
          <w:sz w:val="28"/>
        </w:rPr>
        <w:t>avor de la persona accionante dentro del mes siguiente a que se implemente el marcador no binario. En cualquier caso, la expedición del documento no podrá superar los seis meses.</w:t>
      </w:r>
    </w:p>
    <w:p w:rsidR="00C36B4C" w:rsidRPr="00030313" w:rsidRDefault="00030313" w:rsidP="00C61937">
      <w:pPr>
        <w:pStyle w:val="Prrafodelista"/>
        <w:ind w:left="0"/>
        <w:jc w:val="both"/>
        <w:rPr>
          <w:rFonts w:ascii="Times New Roman" w:hAnsi="Times New Roman"/>
          <w:sz w:val="28"/>
        </w:rPr>
      </w:pPr>
    </w:p>
    <w:p w:rsidR="00C36B4C" w:rsidRPr="00030313" w:rsidRDefault="00030313" w:rsidP="00C61937">
      <w:pPr>
        <w:pStyle w:val="Prrafodelista"/>
        <w:ind w:left="0"/>
        <w:jc w:val="both"/>
        <w:rPr>
          <w:rFonts w:ascii="Times New Roman" w:hAnsi="Times New Roman"/>
          <w:sz w:val="28"/>
        </w:rPr>
      </w:pPr>
      <w:r w:rsidRPr="00030313">
        <w:rPr>
          <w:rFonts w:ascii="Times New Roman" w:hAnsi="Times New Roman"/>
          <w:b/>
          <w:bCs/>
          <w:sz w:val="28"/>
        </w:rPr>
        <w:t>T</w:t>
      </w:r>
      <w:r w:rsidRPr="00030313">
        <w:rPr>
          <w:rFonts w:ascii="Times New Roman" w:hAnsi="Times New Roman"/>
          <w:b/>
          <w:bCs/>
          <w:sz w:val="28"/>
        </w:rPr>
        <w:t>ERCERO</w:t>
      </w:r>
      <w:r w:rsidRPr="00030313">
        <w:rPr>
          <w:rFonts w:ascii="Times New Roman" w:hAnsi="Times New Roman"/>
          <w:b/>
          <w:bCs/>
          <w:sz w:val="28"/>
        </w:rPr>
        <w:t xml:space="preserve">. </w:t>
      </w:r>
      <w:r w:rsidRPr="00030313">
        <w:rPr>
          <w:rFonts w:ascii="Times New Roman" w:hAnsi="Times New Roman"/>
          <w:b/>
          <w:bCs/>
          <w:sz w:val="28"/>
        </w:rPr>
        <w:t>REITERAR EL</w:t>
      </w:r>
      <w:r w:rsidRPr="00030313">
        <w:rPr>
          <w:rFonts w:ascii="Times New Roman" w:hAnsi="Times New Roman"/>
          <w:b/>
          <w:bCs/>
          <w:sz w:val="28"/>
        </w:rPr>
        <w:t xml:space="preserve"> EXHORT</w:t>
      </w:r>
      <w:r w:rsidRPr="00030313">
        <w:rPr>
          <w:rFonts w:ascii="Times New Roman" w:hAnsi="Times New Roman"/>
          <w:b/>
          <w:bCs/>
          <w:sz w:val="28"/>
        </w:rPr>
        <w:t>O</w:t>
      </w:r>
      <w:r w:rsidRPr="00030313">
        <w:rPr>
          <w:rFonts w:ascii="Times New Roman" w:hAnsi="Times New Roman"/>
          <w:b/>
          <w:bCs/>
          <w:sz w:val="28"/>
        </w:rPr>
        <w:t xml:space="preserve"> </w:t>
      </w:r>
      <w:r w:rsidRPr="00030313">
        <w:rPr>
          <w:rFonts w:ascii="Times New Roman" w:hAnsi="Times New Roman"/>
          <w:sz w:val="28"/>
        </w:rPr>
        <w:t xml:space="preserve">al </w:t>
      </w:r>
      <w:r w:rsidRPr="00030313">
        <w:rPr>
          <w:rFonts w:ascii="Times New Roman" w:hAnsi="Times New Roman"/>
          <w:sz w:val="28"/>
        </w:rPr>
        <w:t>Congreso de la República para que d</w:t>
      </w:r>
      <w:r w:rsidRPr="00030313">
        <w:rPr>
          <w:rFonts w:ascii="Times New Roman" w:hAnsi="Times New Roman"/>
          <w:sz w:val="28"/>
        </w:rPr>
        <w:t>é</w:t>
      </w:r>
      <w:r w:rsidRPr="00030313">
        <w:rPr>
          <w:rFonts w:ascii="Times New Roman" w:hAnsi="Times New Roman"/>
          <w:sz w:val="28"/>
        </w:rPr>
        <w:t xml:space="preserve"> cumplim</w:t>
      </w:r>
      <w:r w:rsidRPr="00030313">
        <w:rPr>
          <w:rFonts w:ascii="Times New Roman" w:hAnsi="Times New Roman"/>
          <w:sz w:val="28"/>
        </w:rPr>
        <w:t xml:space="preserve">iento </w:t>
      </w:r>
      <w:r w:rsidRPr="00030313">
        <w:rPr>
          <w:rFonts w:ascii="Times New Roman" w:hAnsi="Times New Roman"/>
          <w:sz w:val="28"/>
        </w:rPr>
        <w:t>al resolutivo sexto de la Sentencia T-033 de 2022, con el fin de que se garanticen los derechos fundamentales de las personas de género “No Binario”</w:t>
      </w:r>
      <w:r w:rsidRPr="00030313">
        <w:rPr>
          <w:rFonts w:ascii="Times New Roman" w:hAnsi="Times New Roman"/>
          <w:sz w:val="28"/>
        </w:rPr>
        <w:t xml:space="preserve"> y su posibilidad para contraer obligaciones y servicios que encuentran en el sexo o en el género un c</w:t>
      </w:r>
      <w:r w:rsidRPr="00030313">
        <w:rPr>
          <w:rFonts w:ascii="Times New Roman" w:hAnsi="Times New Roman"/>
          <w:sz w:val="28"/>
        </w:rPr>
        <w:t xml:space="preserve">riterio de asignación. </w:t>
      </w:r>
    </w:p>
    <w:p w:rsidR="00C36B4C" w:rsidRPr="00030313" w:rsidRDefault="00030313" w:rsidP="00C61937">
      <w:pPr>
        <w:pStyle w:val="Prrafodelista"/>
        <w:ind w:left="0"/>
        <w:jc w:val="both"/>
        <w:rPr>
          <w:rFonts w:ascii="Times New Roman" w:hAnsi="Times New Roman"/>
          <w:sz w:val="28"/>
        </w:rPr>
      </w:pPr>
    </w:p>
    <w:p w:rsidR="00C36B4C" w:rsidRPr="00030313" w:rsidRDefault="00030313" w:rsidP="00C61937">
      <w:pPr>
        <w:jc w:val="both"/>
        <w:rPr>
          <w:rFonts w:ascii="Times New Roman" w:hAnsi="Times New Roman"/>
          <w:bCs/>
          <w:sz w:val="28"/>
        </w:rPr>
      </w:pPr>
      <w:r w:rsidRPr="00030313">
        <w:rPr>
          <w:rFonts w:ascii="Times New Roman" w:hAnsi="Times New Roman"/>
          <w:b/>
          <w:sz w:val="28"/>
        </w:rPr>
        <w:t>CUARTO</w:t>
      </w:r>
      <w:r w:rsidRPr="00030313">
        <w:rPr>
          <w:rFonts w:ascii="Times New Roman" w:hAnsi="Times New Roman"/>
          <w:b/>
          <w:sz w:val="28"/>
        </w:rPr>
        <w:t xml:space="preserve">. </w:t>
      </w:r>
      <w:r w:rsidRPr="00030313">
        <w:rPr>
          <w:rFonts w:ascii="Times New Roman" w:hAnsi="Times New Roman"/>
          <w:bCs/>
          <w:sz w:val="28"/>
        </w:rPr>
        <w:t xml:space="preserve">Por Secretaría General, </w:t>
      </w:r>
      <w:r w:rsidRPr="00030313">
        <w:rPr>
          <w:rFonts w:ascii="Times New Roman" w:hAnsi="Times New Roman"/>
          <w:b/>
          <w:sz w:val="28"/>
        </w:rPr>
        <w:t xml:space="preserve">LÍBRESE </w:t>
      </w:r>
      <w:r w:rsidRPr="00030313">
        <w:rPr>
          <w:rFonts w:ascii="Times New Roman" w:hAnsi="Times New Roman"/>
          <w:bCs/>
          <w:sz w:val="28"/>
        </w:rPr>
        <w:t xml:space="preserve">la comunicación prevista en el artículo 36 del Decreto 2591 de 1991. </w:t>
      </w:r>
    </w:p>
    <w:p w:rsidR="00C36B4C" w:rsidRPr="00030313" w:rsidRDefault="00030313" w:rsidP="00C61937">
      <w:pPr>
        <w:pStyle w:val="Lista2"/>
        <w:ind w:left="0" w:firstLine="0"/>
        <w:jc w:val="both"/>
        <w:rPr>
          <w:rFonts w:ascii="Times New Roman" w:hAnsi="Times New Roman"/>
          <w:sz w:val="28"/>
        </w:rPr>
      </w:pPr>
    </w:p>
    <w:p w:rsidR="00C36B4C" w:rsidRPr="00030313" w:rsidRDefault="00030313" w:rsidP="00C61937">
      <w:pPr>
        <w:pStyle w:val="Lista2"/>
        <w:ind w:left="0" w:firstLine="0"/>
        <w:jc w:val="both"/>
        <w:rPr>
          <w:rFonts w:ascii="Times New Roman" w:hAnsi="Times New Roman"/>
          <w:sz w:val="28"/>
        </w:rPr>
      </w:pPr>
      <w:r w:rsidRPr="00030313">
        <w:rPr>
          <w:rFonts w:ascii="Times New Roman" w:hAnsi="Times New Roman"/>
          <w:sz w:val="28"/>
        </w:rPr>
        <w:t xml:space="preserve">Notifíquese, </w:t>
      </w:r>
      <w:r w:rsidRPr="00030313">
        <w:rPr>
          <w:rFonts w:ascii="Times New Roman" w:hAnsi="Times New Roman"/>
          <w:bCs/>
          <w:sz w:val="28"/>
        </w:rPr>
        <w:t>comuníquese, publíquese y cúmplase.</w:t>
      </w:r>
    </w:p>
    <w:p w:rsidR="00C33C33" w:rsidRPr="00030313" w:rsidRDefault="00030313" w:rsidP="00C61937">
      <w:pPr>
        <w:rPr>
          <w:rFonts w:ascii="Times New Roman" w:hAnsi="Times New Roman"/>
          <w:sz w:val="28"/>
        </w:rPr>
      </w:pPr>
    </w:p>
    <w:p w:rsidR="001A647B" w:rsidRPr="00030313" w:rsidRDefault="00030313" w:rsidP="00C61937">
      <w:pPr>
        <w:rPr>
          <w:rFonts w:ascii="Times New Roman" w:hAnsi="Times New Roman"/>
          <w:sz w:val="28"/>
        </w:rPr>
      </w:pPr>
    </w:p>
    <w:p w:rsidR="001A647B" w:rsidRPr="00030313" w:rsidRDefault="00030313" w:rsidP="00C61937">
      <w:pPr>
        <w:rPr>
          <w:rFonts w:ascii="Times New Roman" w:hAnsi="Times New Roman"/>
          <w:sz w:val="28"/>
        </w:rPr>
      </w:pPr>
    </w:p>
    <w:p w:rsidR="001A647B" w:rsidRPr="00030313" w:rsidRDefault="00030313" w:rsidP="001A647B">
      <w:pPr>
        <w:jc w:val="center"/>
        <w:rPr>
          <w:rFonts w:ascii="Times New Roman" w:hAnsi="Times New Roman"/>
          <w:sz w:val="28"/>
        </w:rPr>
      </w:pPr>
      <w:r w:rsidRPr="00030313">
        <w:rPr>
          <w:rFonts w:ascii="Times New Roman" w:hAnsi="Times New Roman"/>
          <w:sz w:val="28"/>
        </w:rPr>
        <w:t xml:space="preserve">JORGE ENRIQUE IBÁÑEZ NAJAR </w:t>
      </w:r>
    </w:p>
    <w:p w:rsidR="001A647B" w:rsidRPr="00030313" w:rsidRDefault="00030313" w:rsidP="001A647B">
      <w:pPr>
        <w:jc w:val="center"/>
        <w:rPr>
          <w:rFonts w:ascii="Times New Roman" w:hAnsi="Times New Roman"/>
          <w:sz w:val="28"/>
        </w:rPr>
      </w:pPr>
      <w:r w:rsidRPr="00030313">
        <w:rPr>
          <w:rFonts w:ascii="Times New Roman" w:hAnsi="Times New Roman"/>
          <w:sz w:val="28"/>
        </w:rPr>
        <w:t>Magistrado</w:t>
      </w:r>
    </w:p>
    <w:p w:rsidR="001A647B" w:rsidRPr="00030313" w:rsidRDefault="00030313" w:rsidP="001A647B">
      <w:pPr>
        <w:jc w:val="center"/>
        <w:rPr>
          <w:rFonts w:ascii="Times New Roman" w:hAnsi="Times New Roman"/>
          <w:sz w:val="28"/>
        </w:rPr>
      </w:pPr>
    </w:p>
    <w:p w:rsidR="001A647B" w:rsidRPr="00030313" w:rsidRDefault="00030313" w:rsidP="001A647B">
      <w:pPr>
        <w:jc w:val="center"/>
        <w:rPr>
          <w:rFonts w:ascii="Times New Roman" w:hAnsi="Times New Roman"/>
          <w:sz w:val="28"/>
        </w:rPr>
      </w:pPr>
    </w:p>
    <w:p w:rsidR="001A647B" w:rsidRPr="00030313" w:rsidRDefault="00030313" w:rsidP="001A647B">
      <w:pPr>
        <w:jc w:val="center"/>
        <w:rPr>
          <w:rFonts w:ascii="Times New Roman" w:hAnsi="Times New Roman"/>
          <w:sz w:val="28"/>
        </w:rPr>
      </w:pPr>
    </w:p>
    <w:p w:rsidR="001A647B" w:rsidRPr="00030313" w:rsidRDefault="00030313" w:rsidP="001A647B">
      <w:pPr>
        <w:jc w:val="center"/>
        <w:rPr>
          <w:rFonts w:ascii="Times New Roman" w:hAnsi="Times New Roman"/>
          <w:sz w:val="28"/>
        </w:rPr>
      </w:pPr>
      <w:r w:rsidRPr="00030313">
        <w:rPr>
          <w:rFonts w:ascii="Times New Roman" w:hAnsi="Times New Roman"/>
          <w:sz w:val="28"/>
        </w:rPr>
        <w:t xml:space="preserve">ANTONIO JOSÉ LIZARAZO </w:t>
      </w:r>
      <w:r w:rsidRPr="00030313">
        <w:rPr>
          <w:rFonts w:ascii="Times New Roman" w:hAnsi="Times New Roman"/>
          <w:sz w:val="28"/>
        </w:rPr>
        <w:t>OCAMPO</w:t>
      </w:r>
    </w:p>
    <w:p w:rsidR="001A647B" w:rsidRPr="00030313" w:rsidRDefault="00030313" w:rsidP="001A647B">
      <w:pPr>
        <w:jc w:val="center"/>
        <w:rPr>
          <w:rFonts w:ascii="Times New Roman" w:hAnsi="Times New Roman"/>
          <w:sz w:val="28"/>
        </w:rPr>
      </w:pPr>
      <w:r w:rsidRPr="00030313">
        <w:rPr>
          <w:rFonts w:ascii="Times New Roman" w:hAnsi="Times New Roman"/>
          <w:sz w:val="28"/>
        </w:rPr>
        <w:t>Magistrado</w:t>
      </w:r>
    </w:p>
    <w:p w:rsidR="001A647B" w:rsidRPr="00030313" w:rsidRDefault="00030313" w:rsidP="001A647B">
      <w:pPr>
        <w:jc w:val="center"/>
        <w:rPr>
          <w:rFonts w:ascii="Times New Roman" w:hAnsi="Times New Roman"/>
          <w:sz w:val="28"/>
        </w:rPr>
      </w:pPr>
      <w:r w:rsidRPr="00030313">
        <w:rPr>
          <w:rFonts w:ascii="Times New Roman" w:hAnsi="Times New Roman"/>
          <w:sz w:val="28"/>
        </w:rPr>
        <w:t>Con salvamento de voto</w:t>
      </w:r>
    </w:p>
    <w:p w:rsidR="001A647B" w:rsidRPr="00030313" w:rsidRDefault="00030313" w:rsidP="001A647B">
      <w:pPr>
        <w:jc w:val="center"/>
        <w:rPr>
          <w:rFonts w:ascii="Times New Roman" w:hAnsi="Times New Roman"/>
          <w:sz w:val="28"/>
        </w:rPr>
      </w:pPr>
    </w:p>
    <w:p w:rsidR="001A647B" w:rsidRPr="00030313" w:rsidRDefault="00030313" w:rsidP="001A647B">
      <w:pPr>
        <w:jc w:val="center"/>
        <w:rPr>
          <w:rFonts w:ascii="Times New Roman" w:hAnsi="Times New Roman"/>
          <w:sz w:val="28"/>
        </w:rPr>
      </w:pPr>
    </w:p>
    <w:p w:rsidR="001A647B" w:rsidRPr="00030313" w:rsidRDefault="00030313" w:rsidP="001A647B">
      <w:pPr>
        <w:jc w:val="center"/>
        <w:rPr>
          <w:rFonts w:ascii="Times New Roman" w:hAnsi="Times New Roman"/>
          <w:sz w:val="28"/>
        </w:rPr>
      </w:pPr>
    </w:p>
    <w:p w:rsidR="001A647B" w:rsidRPr="00030313" w:rsidRDefault="00030313" w:rsidP="001A647B">
      <w:pPr>
        <w:jc w:val="center"/>
        <w:rPr>
          <w:rFonts w:ascii="Times New Roman" w:hAnsi="Times New Roman"/>
          <w:sz w:val="28"/>
        </w:rPr>
      </w:pPr>
      <w:r w:rsidRPr="00030313">
        <w:rPr>
          <w:rFonts w:ascii="Times New Roman" w:hAnsi="Times New Roman"/>
          <w:sz w:val="28"/>
        </w:rPr>
        <w:t>PAOLA ANDREA MENESES MOSQUERA</w:t>
      </w:r>
    </w:p>
    <w:p w:rsidR="001A647B" w:rsidRPr="00030313" w:rsidRDefault="00030313" w:rsidP="001A647B">
      <w:pPr>
        <w:jc w:val="center"/>
        <w:rPr>
          <w:rFonts w:ascii="Times New Roman" w:hAnsi="Times New Roman"/>
          <w:sz w:val="28"/>
        </w:rPr>
      </w:pPr>
      <w:r w:rsidRPr="00030313">
        <w:rPr>
          <w:rFonts w:ascii="Times New Roman" w:hAnsi="Times New Roman"/>
          <w:sz w:val="28"/>
        </w:rPr>
        <w:t>Magistrada</w:t>
      </w:r>
    </w:p>
    <w:p w:rsidR="001A647B" w:rsidRPr="00030313" w:rsidRDefault="00030313" w:rsidP="001A647B">
      <w:pPr>
        <w:jc w:val="center"/>
        <w:rPr>
          <w:rFonts w:ascii="Times New Roman" w:hAnsi="Times New Roman"/>
          <w:sz w:val="28"/>
        </w:rPr>
      </w:pPr>
    </w:p>
    <w:p w:rsidR="001A647B" w:rsidRPr="00030313" w:rsidRDefault="00030313" w:rsidP="001A647B">
      <w:pPr>
        <w:jc w:val="center"/>
        <w:rPr>
          <w:rFonts w:ascii="Times New Roman" w:hAnsi="Times New Roman"/>
          <w:sz w:val="28"/>
        </w:rPr>
      </w:pPr>
    </w:p>
    <w:p w:rsidR="001A647B" w:rsidRPr="00030313" w:rsidRDefault="00030313" w:rsidP="001A647B">
      <w:pPr>
        <w:jc w:val="center"/>
        <w:rPr>
          <w:rFonts w:ascii="Times New Roman" w:hAnsi="Times New Roman"/>
          <w:sz w:val="28"/>
        </w:rPr>
      </w:pPr>
    </w:p>
    <w:p w:rsidR="001A647B" w:rsidRPr="00030313" w:rsidRDefault="00030313" w:rsidP="001A647B">
      <w:pPr>
        <w:jc w:val="center"/>
        <w:rPr>
          <w:rFonts w:ascii="Times New Roman" w:hAnsi="Times New Roman"/>
          <w:sz w:val="28"/>
        </w:rPr>
      </w:pPr>
      <w:r w:rsidRPr="00030313">
        <w:rPr>
          <w:rFonts w:ascii="Times New Roman" w:hAnsi="Times New Roman"/>
          <w:sz w:val="28"/>
        </w:rPr>
        <w:t>ANDREA LILIANA ROMERO LOPEZ</w:t>
      </w:r>
    </w:p>
    <w:p w:rsidR="001A647B" w:rsidRPr="00030313" w:rsidRDefault="00030313" w:rsidP="001A647B">
      <w:pPr>
        <w:jc w:val="center"/>
        <w:rPr>
          <w:rFonts w:ascii="Times New Roman" w:hAnsi="Times New Roman"/>
          <w:sz w:val="28"/>
        </w:rPr>
      </w:pPr>
      <w:r w:rsidRPr="00030313">
        <w:rPr>
          <w:rFonts w:ascii="Times New Roman" w:hAnsi="Times New Roman"/>
          <w:sz w:val="28"/>
        </w:rPr>
        <w:t>Secretaria General</w:t>
      </w:r>
    </w:p>
    <w:sectPr w:rsidR="001A647B" w:rsidRPr="00030313">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30313">
      <w:pPr>
        <w:spacing w:after="0" w:line="240" w:lineRule="auto"/>
      </w:pPr>
      <w:r>
        <w:separator/>
      </w:r>
    </w:p>
  </w:endnote>
  <w:endnote w:type="continuationSeparator" w:id="0">
    <w:p w:rsidR="00000000" w:rsidRDefault="00030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30313">
      <w:pPr>
        <w:spacing w:after="0" w:line="240" w:lineRule="auto"/>
      </w:pPr>
      <w:r>
        <w:separator/>
      </w:r>
    </w:p>
  </w:footnote>
  <w:footnote w:type="continuationSeparator" w:id="0">
    <w:p w:rsidR="00000000" w:rsidRDefault="00030313">
      <w:pPr>
        <w:spacing w:after="0" w:line="240" w:lineRule="auto"/>
      </w:pPr>
      <w:r>
        <w:continuationSeparator/>
      </w:r>
    </w:p>
  </w:footnote>
  <w:footnote w:id="1">
    <w:p w:rsidR="00C36B4C" w:rsidRPr="00873727" w:rsidRDefault="00030313" w:rsidP="00C36B4C">
      <w:pPr>
        <w:pStyle w:val="Textonotapie"/>
        <w:jc w:val="both"/>
      </w:pPr>
      <w:r w:rsidRPr="00873727">
        <w:rPr>
          <w:rStyle w:val="Refdenotaalpie"/>
        </w:rPr>
        <w:footnoteRef/>
      </w:r>
      <w:r w:rsidRPr="00873727">
        <w:t xml:space="preserve"> Constitución Política,</w:t>
      </w:r>
      <w:r>
        <w:t xml:space="preserve"> Artículo 241: </w:t>
      </w:r>
      <w:r w:rsidRPr="00873727">
        <w:rPr>
          <w:i/>
          <w:iCs/>
        </w:rPr>
        <w:t>“A la Corte Constitucional se le confía la guarda de la integridad y supremacía de</w:t>
      </w:r>
      <w:r w:rsidRPr="00873727">
        <w:rPr>
          <w:i/>
          <w:iCs/>
        </w:rPr>
        <w:t xml:space="preserve"> la Constitución, en los estrictos y precisos términos de este artículo. Con tal fin, cumplirá las siguientes funciones: (…) 9. Revisar, en la forma que determine la ley, las decisiones judiciales relacionadas con la acción de tutela de los derechos consti</w:t>
      </w:r>
      <w:r w:rsidRPr="00873727">
        <w:rPr>
          <w:i/>
          <w:iCs/>
        </w:rPr>
        <w:t>tucionales.”</w:t>
      </w:r>
    </w:p>
  </w:footnote>
  <w:footnote w:id="2">
    <w:p w:rsidR="00BA23C3" w:rsidRDefault="00030313">
      <w:pPr>
        <w:pStyle w:val="Textonotapie"/>
      </w:pPr>
      <w:r>
        <w:rPr>
          <w:rStyle w:val="Refdenotaalpie"/>
        </w:rPr>
        <w:footnoteRef/>
      </w:r>
      <w:r>
        <w:t xml:space="preserve"> </w:t>
      </w:r>
      <w:r w:rsidRPr="00837288">
        <w:t>Esta medida se fundamenta en los literales a) y c) del artículo 1 de la Circular Interna No. 10 de 2022 de la Corte Constitucional que establece el deber de omitir de las providencias que se publiquen en la página web de la Corte Constitucio</w:t>
      </w:r>
      <w:r w:rsidRPr="00837288">
        <w:t>nal los nombres reales de las personas cuando se haga referencia a la salud física o psíquica o se pueda poner en riesgo el derecho a la intimidad personal o familiar. En la publicación de sus providencias, las Salas de la Corte o el Magistrado sustanciado</w:t>
      </w:r>
      <w:r w:rsidRPr="00837288">
        <w:t>r, en su caso, podrán disponer que se omitan nombres o circunstancias que identifiquen a las partes</w:t>
      </w:r>
      <w:r>
        <w:t xml:space="preserve">. </w:t>
      </w:r>
    </w:p>
  </w:footnote>
  <w:footnote w:id="3">
    <w:p w:rsidR="00E2195C" w:rsidRPr="00226923" w:rsidRDefault="00030313" w:rsidP="00226923">
      <w:pPr>
        <w:pStyle w:val="Textonotapie"/>
        <w:jc w:val="both"/>
      </w:pPr>
      <w:r w:rsidRPr="00226923">
        <w:rPr>
          <w:rStyle w:val="Refdenotaalpie"/>
        </w:rPr>
        <w:footnoteRef/>
      </w:r>
      <w:r w:rsidRPr="00226923">
        <w:t xml:space="preserve"> Expediente T-10.141.</w:t>
      </w:r>
      <w:r w:rsidRPr="00226923">
        <w:t>790, documento digital “</w:t>
      </w:r>
      <w:hyperlink r:id="rId1" w:tgtFrame="_new" w:history="1">
        <w:r w:rsidRPr="00226923">
          <w:rPr>
            <w:rStyle w:val="Hipervnculo"/>
            <w:color w:val="auto"/>
          </w:rPr>
          <w:t>001RADICACIONOFIC8DA3461988C84FCF8D8E03DC26E26EC2PDF.pdf</w:t>
        </w:r>
      </w:hyperlink>
      <w:r w:rsidRPr="00226923">
        <w:t xml:space="preserve">”. P. 3. </w:t>
      </w:r>
    </w:p>
  </w:footnote>
  <w:footnote w:id="4">
    <w:p w:rsidR="00E22F11" w:rsidRPr="00226923" w:rsidRDefault="00030313" w:rsidP="00226923">
      <w:pPr>
        <w:pStyle w:val="Textonotapie"/>
        <w:jc w:val="both"/>
      </w:pPr>
      <w:r w:rsidRPr="00226923">
        <w:rPr>
          <w:rStyle w:val="Refdenotaalpie"/>
        </w:rPr>
        <w:footnoteRef/>
      </w:r>
      <w:r w:rsidRPr="00226923">
        <w:t xml:space="preserve"> Expediente T-10.141.790, documento digital “</w:t>
      </w:r>
      <w:hyperlink r:id="rId2" w:tgtFrame="_new" w:history="1">
        <w:r w:rsidRPr="00226923">
          <w:rPr>
            <w:rStyle w:val="Hipervnculo"/>
            <w:color w:val="auto"/>
          </w:rPr>
          <w:t>004AUTOADMITEDEM202400061ADMITEPDF.pdf</w:t>
        </w:r>
      </w:hyperlink>
      <w:r w:rsidRPr="00226923">
        <w:t xml:space="preserve">”. </w:t>
      </w:r>
    </w:p>
  </w:footnote>
  <w:footnote w:id="5">
    <w:p w:rsidR="008E789D" w:rsidRPr="00226923" w:rsidRDefault="00030313" w:rsidP="00226923">
      <w:pPr>
        <w:pStyle w:val="Textonotapie"/>
        <w:jc w:val="both"/>
      </w:pPr>
      <w:r w:rsidRPr="00226923">
        <w:rPr>
          <w:rStyle w:val="Refdenotaalpie"/>
        </w:rPr>
        <w:footnoteRef/>
      </w:r>
      <w:r w:rsidRPr="00226923">
        <w:t xml:space="preserve"> Expediente digital T-10.</w:t>
      </w:r>
      <w:r w:rsidRPr="00226923">
        <w:t xml:space="preserve">141.790, </w:t>
      </w:r>
      <w:r w:rsidRPr="00226923">
        <w:t>documento digital “</w:t>
      </w:r>
      <w:hyperlink r:id="rId3" w:tgtFrame="_new" w:history="1">
        <w:r w:rsidRPr="00226923">
          <w:rPr>
            <w:rStyle w:val="Hipervnculo"/>
            <w:color w:val="auto"/>
          </w:rPr>
          <w:t>008_MemorialWeb_Respuesta.pdf</w:t>
        </w:r>
      </w:hyperlink>
      <w:r w:rsidRPr="00226923">
        <w:t xml:space="preserve">”. </w:t>
      </w:r>
    </w:p>
  </w:footnote>
  <w:footnote w:id="6">
    <w:p w:rsidR="00104D68" w:rsidRPr="00226923" w:rsidRDefault="00030313" w:rsidP="00226923">
      <w:pPr>
        <w:pStyle w:val="Textonotapie"/>
        <w:jc w:val="both"/>
      </w:pPr>
      <w:r w:rsidRPr="00226923">
        <w:rPr>
          <w:rStyle w:val="Refdenotaalpie"/>
        </w:rPr>
        <w:footnoteRef/>
      </w:r>
      <w:r w:rsidRPr="00226923">
        <w:t xml:space="preserve"> Ibidem. P. 5. </w:t>
      </w:r>
    </w:p>
  </w:footnote>
  <w:footnote w:id="7">
    <w:p w:rsidR="000478CA" w:rsidRDefault="00030313" w:rsidP="00226923">
      <w:pPr>
        <w:pStyle w:val="Textonotapie"/>
        <w:jc w:val="both"/>
      </w:pPr>
      <w:r w:rsidRPr="00226923">
        <w:rPr>
          <w:rStyle w:val="Refdenotaalpie"/>
        </w:rPr>
        <w:footnoteRef/>
      </w:r>
      <w:r w:rsidRPr="00226923">
        <w:t xml:space="preserve"> </w:t>
      </w:r>
      <w:r w:rsidRPr="00226923">
        <w:t xml:space="preserve">Ibidem. P. 4. </w:t>
      </w:r>
    </w:p>
  </w:footnote>
  <w:footnote w:id="8">
    <w:p w:rsidR="003D3B7A" w:rsidRPr="000505E3" w:rsidRDefault="00030313" w:rsidP="000505E3">
      <w:pPr>
        <w:pStyle w:val="Textonotapie"/>
        <w:jc w:val="both"/>
      </w:pPr>
      <w:r w:rsidRPr="000505E3">
        <w:rPr>
          <w:rStyle w:val="Refdenotaalpie"/>
        </w:rPr>
        <w:footnoteRef/>
      </w:r>
      <w:r w:rsidRPr="000505E3">
        <w:t xml:space="preserve"> Ibidem. </w:t>
      </w:r>
    </w:p>
  </w:footnote>
  <w:footnote w:id="9">
    <w:p w:rsidR="00AD1095" w:rsidRPr="000505E3" w:rsidRDefault="00030313" w:rsidP="000505E3">
      <w:pPr>
        <w:pStyle w:val="Textonotapie"/>
        <w:jc w:val="both"/>
      </w:pPr>
      <w:r w:rsidRPr="000505E3">
        <w:rPr>
          <w:rStyle w:val="Refdenotaalpie"/>
        </w:rPr>
        <w:footnoteRef/>
      </w:r>
      <w:r w:rsidRPr="000505E3">
        <w:t xml:space="preserve"> Ibidem</w:t>
      </w:r>
      <w:r w:rsidRPr="000505E3">
        <w:t>.</w:t>
      </w:r>
      <w:r w:rsidRPr="000505E3">
        <w:t xml:space="preserve"> P. </w:t>
      </w:r>
      <w:r w:rsidRPr="000505E3">
        <w:t xml:space="preserve">5. </w:t>
      </w:r>
    </w:p>
  </w:footnote>
  <w:footnote w:id="10">
    <w:p w:rsidR="00F4007E" w:rsidRPr="000505E3" w:rsidRDefault="00030313" w:rsidP="000505E3">
      <w:pPr>
        <w:pStyle w:val="Textonotapie"/>
        <w:jc w:val="both"/>
      </w:pPr>
      <w:r w:rsidRPr="000505E3">
        <w:rPr>
          <w:rStyle w:val="Refdenotaalpie"/>
        </w:rPr>
        <w:footnoteRef/>
      </w:r>
      <w:r w:rsidRPr="000505E3">
        <w:t xml:space="preserve"> Expediente T-10.141.</w:t>
      </w:r>
      <w:r w:rsidRPr="000505E3">
        <w:t>790</w:t>
      </w:r>
      <w:r w:rsidRPr="000505E3">
        <w:t>, documento digital “</w:t>
      </w:r>
      <w:hyperlink r:id="rId4" w:tgtFrame="_new" w:history="1">
        <w:r w:rsidRPr="000505E3">
          <w:rPr>
            <w:rStyle w:val="Hipervnculo"/>
            <w:color w:val="auto"/>
          </w:rPr>
          <w:t>008_MemorialWeb_Respuesta_Indice_10_2.pdf</w:t>
        </w:r>
      </w:hyperlink>
      <w:r w:rsidRPr="000505E3">
        <w:t xml:space="preserve">”. </w:t>
      </w:r>
    </w:p>
  </w:footnote>
  <w:footnote w:id="11">
    <w:p w:rsidR="00253AA4" w:rsidRPr="000505E3" w:rsidRDefault="00030313" w:rsidP="000505E3">
      <w:pPr>
        <w:pStyle w:val="Textonotapie"/>
        <w:jc w:val="both"/>
      </w:pPr>
      <w:r w:rsidRPr="000505E3">
        <w:rPr>
          <w:rStyle w:val="Refdenotaalpie"/>
        </w:rPr>
        <w:footnoteRef/>
      </w:r>
      <w:r w:rsidRPr="000505E3">
        <w:t xml:space="preserve"> Ibidem. P. 1. </w:t>
      </w:r>
    </w:p>
  </w:footnote>
  <w:footnote w:id="12">
    <w:p w:rsidR="00C36B4C" w:rsidRPr="000505E3" w:rsidRDefault="00030313" w:rsidP="000505E3">
      <w:pPr>
        <w:pStyle w:val="Textonotapie"/>
        <w:ind w:left="709" w:hanging="709"/>
        <w:jc w:val="both"/>
      </w:pPr>
      <w:r w:rsidRPr="000505E3">
        <w:rPr>
          <w:rStyle w:val="Refdenotaalpie"/>
        </w:rPr>
        <w:footnoteRef/>
      </w:r>
      <w:r w:rsidRPr="000505E3">
        <w:t xml:space="preserve"> Expediente T-10.</w:t>
      </w:r>
      <w:r w:rsidRPr="000505E3">
        <w:t>141.</w:t>
      </w:r>
      <w:r w:rsidRPr="000505E3">
        <w:t>790, documento digital “</w:t>
      </w:r>
      <w:hyperlink r:id="rId5" w:tgtFrame="_new" w:history="1">
        <w:r w:rsidRPr="000505E3">
          <w:rPr>
            <w:rStyle w:val="Hipervnculo"/>
            <w:color w:val="auto"/>
          </w:rPr>
          <w:t>013SENTENCIATUTEL_202400061SENTENCIAPD.pdf</w:t>
        </w:r>
      </w:hyperlink>
      <w:r w:rsidRPr="000505E3">
        <w:t xml:space="preserve">”. </w:t>
      </w:r>
    </w:p>
  </w:footnote>
  <w:footnote w:id="13">
    <w:p w:rsidR="00420A27" w:rsidRDefault="00030313" w:rsidP="000505E3">
      <w:pPr>
        <w:pStyle w:val="Textonotapie"/>
        <w:jc w:val="both"/>
      </w:pPr>
      <w:r w:rsidRPr="000505E3">
        <w:rPr>
          <w:rStyle w:val="Refdenotaalpie"/>
        </w:rPr>
        <w:footnoteRef/>
      </w:r>
      <w:r w:rsidRPr="000505E3">
        <w:t xml:space="preserve"> Ibidem. P. 7. </w:t>
      </w:r>
    </w:p>
  </w:footnote>
  <w:footnote w:id="14">
    <w:p w:rsidR="006133FA" w:rsidRPr="00512993" w:rsidRDefault="00030313" w:rsidP="00512993">
      <w:pPr>
        <w:pStyle w:val="Textonotapie"/>
        <w:jc w:val="both"/>
      </w:pPr>
      <w:r w:rsidRPr="00512993">
        <w:rPr>
          <w:rStyle w:val="Refdenotaalpie"/>
        </w:rPr>
        <w:footnoteRef/>
      </w:r>
      <w:r w:rsidRPr="00512993">
        <w:t xml:space="preserve"> Expediente T-10.141-790, documento digital “</w:t>
      </w:r>
      <w:hyperlink r:id="rId6" w:tgtFrame="_new" w:history="1">
        <w:r w:rsidRPr="00512993">
          <w:rPr>
            <w:rStyle w:val="Hipervnculo"/>
            <w:color w:val="auto"/>
          </w:rPr>
          <w:t>T-10.141.790_Auto_de_pruebas.pdf</w:t>
        </w:r>
      </w:hyperlink>
      <w:r w:rsidRPr="00512993">
        <w:t xml:space="preserve">”. </w:t>
      </w:r>
    </w:p>
  </w:footnote>
  <w:footnote w:id="15">
    <w:p w:rsidR="00CD4022" w:rsidRPr="005202BD" w:rsidRDefault="00030313" w:rsidP="00512993">
      <w:pPr>
        <w:pStyle w:val="Textonotapie"/>
        <w:jc w:val="both"/>
      </w:pPr>
      <w:r w:rsidRPr="00512993">
        <w:rPr>
          <w:rStyle w:val="Refdenotaalpie"/>
        </w:rPr>
        <w:footnoteRef/>
      </w:r>
      <w:r w:rsidRPr="00512993">
        <w:t xml:space="preserve"> El numeral quinto de la parte resolutiva de la Sentencia T-0322 de 2022 presentó la siguiente solución: “</w:t>
      </w:r>
      <w:r w:rsidRPr="00512993">
        <w:rPr>
          <w:b/>
          <w:bCs/>
          <w:i/>
          <w:iCs/>
          <w:shd w:val="clear" w:color="auto" w:fill="FFFFFF"/>
          <w:lang w:val="es-ES_tradnl"/>
        </w:rPr>
        <w:t>EXHORTAR </w:t>
      </w:r>
      <w:r w:rsidRPr="00512993">
        <w:rPr>
          <w:i/>
          <w:iCs/>
          <w:shd w:val="clear" w:color="auto" w:fill="FFFFFF"/>
          <w:lang w:val="es-ES_tradnl"/>
        </w:rPr>
        <w:t>al Gobierno Nacional y a la Registraduría Nacional del Estado Civil para que, en el término de seis (6) meses siguientes a la notificación de</w:t>
      </w:r>
      <w:r w:rsidRPr="00512993">
        <w:rPr>
          <w:i/>
          <w:iCs/>
          <w:shd w:val="clear" w:color="auto" w:fill="FFFFFF"/>
          <w:lang w:val="es-ES_tradnl"/>
        </w:rPr>
        <w:t xml:space="preserve"> esta decisión, en el marco de sus competencias, (i) el primero, modifique el contenido de primer inciso del artículo 2.2.6.12.4.3. del Decreto 1227 de 2015, y las normas que correspondan a su tenor, en el sentido de incluir la categoría “no binario” entre</w:t>
      </w:r>
      <w:r w:rsidRPr="00512993">
        <w:rPr>
          <w:i/>
          <w:iCs/>
          <w:shd w:val="clear" w:color="auto" w:fill="FFFFFF"/>
          <w:lang w:val="es-ES_tradnl"/>
        </w:rPr>
        <w:t xml:space="preserve"> los marcadores de sexo en el esquema de identificación ciudadana y, (ii) en conjunto, dispongan todo lo necesario para la puesta en marcha de este esquema de identificación, de modo que las personas no binarias que cumplan los demás requisitos previstos e</w:t>
      </w:r>
      <w:r w:rsidRPr="00512993">
        <w:rPr>
          <w:i/>
          <w:iCs/>
          <w:shd w:val="clear" w:color="auto" w:fill="FFFFFF"/>
          <w:lang w:val="es-ES_tradnl"/>
        </w:rPr>
        <w:t>n relación con la corrección del componente sexo, puedan optar por esa categoría, con las mismas garantías de quienes se identifican oficialmente en forma binaria. En tal sentido, </w:t>
      </w:r>
      <w:r w:rsidRPr="00512993">
        <w:rPr>
          <w:b/>
          <w:bCs/>
          <w:i/>
          <w:iCs/>
          <w:shd w:val="clear" w:color="auto" w:fill="FFFFFF"/>
          <w:lang w:val="es-ES_tradnl"/>
        </w:rPr>
        <w:t>ADVERTIR</w:t>
      </w:r>
      <w:r w:rsidRPr="00512993">
        <w:rPr>
          <w:i/>
          <w:iCs/>
          <w:shd w:val="clear" w:color="auto" w:fill="FFFFFF"/>
          <w:lang w:val="es-ES_tradnl"/>
        </w:rPr>
        <w:t> que, transcurrido ese lapso, si la regulación mencionada y su puest</w:t>
      </w:r>
      <w:r w:rsidRPr="00512993">
        <w:rPr>
          <w:i/>
          <w:iCs/>
          <w:shd w:val="clear" w:color="auto" w:fill="FFFFFF"/>
          <w:lang w:val="es-ES_tradnl"/>
        </w:rPr>
        <w:t>a en marcha aún no se hubiere materializado, en cualquier caso, las personas con identidades de género no binarias que cumplan con los demás requisitos para la corrección del componente sexo podrán cambiar ante las autoridades competentes la asignación del</w:t>
      </w:r>
      <w:r w:rsidRPr="00512993">
        <w:rPr>
          <w:i/>
          <w:iCs/>
          <w:shd w:val="clear" w:color="auto" w:fill="FFFFFF"/>
          <w:lang w:val="es-ES_tradnl"/>
        </w:rPr>
        <w:t xml:space="preserve"> género no binario en sus documentos de identidad, en los términos de esta providencia.</w:t>
      </w:r>
    </w:p>
  </w:footnote>
  <w:footnote w:id="16">
    <w:p w:rsidR="001D01C4" w:rsidRPr="00D40FF4" w:rsidRDefault="00030313" w:rsidP="00D40FF4">
      <w:pPr>
        <w:pStyle w:val="Textonotapie"/>
        <w:jc w:val="both"/>
      </w:pPr>
      <w:r w:rsidRPr="00D40FF4">
        <w:rPr>
          <w:rStyle w:val="Refdenotaalpie"/>
        </w:rPr>
        <w:footnoteRef/>
      </w:r>
      <w:r w:rsidRPr="00D40FF4">
        <w:t xml:space="preserve"> Ibidem. </w:t>
      </w:r>
      <w:r w:rsidRPr="00D40FF4">
        <w:t xml:space="preserve">P. 3. </w:t>
      </w:r>
    </w:p>
  </w:footnote>
  <w:footnote w:id="17">
    <w:p w:rsidR="00AD6070" w:rsidRPr="00516C4A" w:rsidRDefault="00030313" w:rsidP="0027339D">
      <w:pPr>
        <w:pStyle w:val="Textonotapie"/>
        <w:jc w:val="both"/>
      </w:pPr>
      <w:r w:rsidRPr="00516C4A">
        <w:rPr>
          <w:rStyle w:val="Refdenotaalpie"/>
        </w:rPr>
        <w:footnoteRef/>
      </w:r>
      <w:r w:rsidRPr="00516C4A">
        <w:t xml:space="preserve"> Ibidem. </w:t>
      </w:r>
    </w:p>
  </w:footnote>
  <w:footnote w:id="18">
    <w:p w:rsidR="00534E23" w:rsidRPr="00516C4A" w:rsidRDefault="00030313" w:rsidP="0027339D">
      <w:pPr>
        <w:pStyle w:val="Textonotapie"/>
        <w:jc w:val="both"/>
      </w:pPr>
      <w:r w:rsidRPr="00516C4A">
        <w:rPr>
          <w:rStyle w:val="Refdenotaalpie"/>
        </w:rPr>
        <w:footnoteRef/>
      </w:r>
      <w:r w:rsidRPr="00516C4A">
        <w:t xml:space="preserve"> Expediente T-10.141.790, documento digital “</w:t>
      </w:r>
      <w:hyperlink r:id="rId7" w:tgtFrame="_new" w:history="1">
        <w:r w:rsidRPr="00516C4A">
          <w:rPr>
            <w:rStyle w:val="Hipervnculo"/>
            <w:color w:val="auto"/>
          </w:rPr>
          <w:t>SGE-CE-0658-202</w:t>
        </w:r>
        <w:r w:rsidRPr="00516C4A">
          <w:rPr>
            <w:rStyle w:val="Hipervnculo"/>
            <w:color w:val="auto"/>
          </w:rPr>
          <w:t>4.pdf</w:t>
        </w:r>
      </w:hyperlink>
      <w:r w:rsidRPr="00516C4A">
        <w:t xml:space="preserve">”. </w:t>
      </w:r>
    </w:p>
  </w:footnote>
  <w:footnote w:id="19">
    <w:p w:rsidR="00092F3C" w:rsidRDefault="00030313" w:rsidP="0027339D">
      <w:pPr>
        <w:pStyle w:val="Textonotapie"/>
        <w:jc w:val="both"/>
      </w:pPr>
      <w:r w:rsidRPr="00516C4A">
        <w:rPr>
          <w:rStyle w:val="Refdenotaalpie"/>
        </w:rPr>
        <w:footnoteRef/>
      </w:r>
      <w:r w:rsidRPr="00516C4A">
        <w:t xml:space="preserve"> Ibidem. </w:t>
      </w:r>
    </w:p>
  </w:footnote>
  <w:footnote w:id="20">
    <w:p w:rsidR="00C36B4C" w:rsidRPr="00914909" w:rsidRDefault="00030313" w:rsidP="00C36B4C">
      <w:pPr>
        <w:pStyle w:val="Textonotapie"/>
        <w:jc w:val="both"/>
      </w:pPr>
      <w:r w:rsidRPr="006324BC">
        <w:rPr>
          <w:rStyle w:val="Refdenotaalpie"/>
        </w:rPr>
        <w:footnoteRef/>
      </w:r>
      <w:r w:rsidRPr="006324BC">
        <w:t xml:space="preserve"> Expediente T-10.</w:t>
      </w:r>
      <w:r w:rsidRPr="006324BC">
        <w:t>141.790, documento digital “</w:t>
      </w:r>
      <w:hyperlink r:id="rId8" w:tgtFrame="_new" w:history="1">
        <w:r w:rsidRPr="006324BC">
          <w:rPr>
            <w:rStyle w:val="Hipervnculo"/>
            <w:color w:val="auto"/>
          </w:rPr>
          <w:t>AT</w:t>
        </w:r>
        <w:r>
          <w:rPr>
            <w:rStyle w:val="Hipervnculo"/>
            <w:i/>
            <w:iCs/>
            <w:color w:val="auto"/>
          </w:rPr>
          <w:t xml:space="preserve"> Sergio</w:t>
        </w:r>
        <w:r w:rsidRPr="006324BC">
          <w:rPr>
            <w:rStyle w:val="Hipervnculo"/>
            <w:color w:val="auto"/>
          </w:rPr>
          <w:t xml:space="preserve"> 0906 2024 - Auto Corte Constitucional.pdf</w:t>
        </w:r>
      </w:hyperlink>
      <w:r w:rsidRPr="006324BC">
        <w:t xml:space="preserve">”. </w:t>
      </w:r>
      <w:r w:rsidRPr="006324BC">
        <w:t xml:space="preserve"> </w:t>
      </w:r>
    </w:p>
  </w:footnote>
  <w:footnote w:id="21">
    <w:p w:rsidR="000D6B8A" w:rsidRDefault="00030313" w:rsidP="00A71825">
      <w:pPr>
        <w:pStyle w:val="Textonotapie"/>
        <w:jc w:val="both"/>
      </w:pPr>
      <w:r w:rsidRPr="00A71825">
        <w:rPr>
          <w:rStyle w:val="Refdenotaalpie"/>
        </w:rPr>
        <w:footnoteRef/>
      </w:r>
      <w:r w:rsidRPr="00A71825">
        <w:t xml:space="preserve"> Expediente T-10-141-790, documento digital “</w:t>
      </w:r>
      <w:hyperlink r:id="rId9" w:tgtFrame="_new" w:history="1">
        <w:r w:rsidRPr="00A71825">
          <w:rPr>
            <w:rStyle w:val="Hipervnculo"/>
            <w:color w:val="auto"/>
          </w:rPr>
          <w:t xml:space="preserve">AT </w:t>
        </w:r>
        <w:r>
          <w:rPr>
            <w:rStyle w:val="Hipervnculo"/>
            <w:i/>
            <w:iCs/>
            <w:color w:val="auto"/>
          </w:rPr>
          <w:t>Sergio</w:t>
        </w:r>
        <w:r w:rsidRPr="00A71825">
          <w:rPr>
            <w:rStyle w:val="Hipervnculo"/>
            <w:color w:val="auto"/>
          </w:rPr>
          <w:t xml:space="preserve"> 0906 2024 - Auto Corte Constitucional.pdf</w:t>
        </w:r>
      </w:hyperlink>
      <w:r w:rsidRPr="00A71825">
        <w:t xml:space="preserve">”. </w:t>
      </w:r>
    </w:p>
  </w:footnote>
  <w:footnote w:id="22">
    <w:p w:rsidR="00181D3F" w:rsidRDefault="00030313" w:rsidP="00E50DD7">
      <w:pPr>
        <w:pStyle w:val="Textonotapie"/>
        <w:jc w:val="both"/>
      </w:pPr>
      <w:r w:rsidRPr="00E50DD7">
        <w:rPr>
          <w:rStyle w:val="Refdenotaalpie"/>
        </w:rPr>
        <w:footnoteRef/>
      </w:r>
      <w:r w:rsidRPr="00E50DD7">
        <w:t xml:space="preserve"> Expediente T-10.141.790, documento digital “</w:t>
      </w:r>
      <w:hyperlink r:id="rId10" w:tgtFrame="_new" w:history="1">
        <w:r w:rsidRPr="00E50DD7">
          <w:rPr>
            <w:rStyle w:val="Hipervnculo"/>
            <w:color w:val="auto"/>
          </w:rPr>
          <w:t>T-10.14</w:t>
        </w:r>
        <w:r w:rsidRPr="00E50DD7">
          <w:rPr>
            <w:rStyle w:val="Hipervnculo"/>
            <w:color w:val="auto"/>
          </w:rPr>
          <w:t>1.790_OPTB-225-24.pdf</w:t>
        </w:r>
      </w:hyperlink>
      <w:r w:rsidRPr="00E50DD7">
        <w:t xml:space="preserve">”. </w:t>
      </w:r>
    </w:p>
  </w:footnote>
  <w:footnote w:id="23">
    <w:p w:rsidR="00C36B4C" w:rsidRPr="005A7ABA" w:rsidRDefault="00030313" w:rsidP="00C36B4C">
      <w:pPr>
        <w:pStyle w:val="Textonotapie"/>
        <w:jc w:val="both"/>
      </w:pPr>
      <w:r w:rsidRPr="005A7ABA">
        <w:rPr>
          <w:rStyle w:val="Refdenotaalpie"/>
        </w:rPr>
        <w:footnoteRef/>
      </w:r>
      <w:r w:rsidRPr="005A7ABA">
        <w:t xml:space="preserve"> Conforme lo dispuesto por el artículo 10 del Decreto 2591 de 1991, “</w:t>
      </w:r>
      <w:r w:rsidRPr="005A7ABA">
        <w:rPr>
          <w:i/>
          <w:iCs/>
        </w:rPr>
        <w:t xml:space="preserve">la acción de tutela podrá ser ejercida, en todo momento y lugar, por cualquier persona vulnerada o amenazada en uno de sus derechos fundamentales, quien actuará </w:t>
      </w:r>
      <w:r w:rsidRPr="005A7ABA">
        <w:rPr>
          <w:i/>
          <w:iCs/>
        </w:rPr>
        <w:t>por sí misma o a través de representante. (…) También se pueden agenciar derechos ajenos cuando el titular de los mismos no esté en condiciones de promover su propia defensa. Cuando tal circunstancia ocurra, deberá manifestarse en la solicitud. También pod</w:t>
      </w:r>
      <w:r w:rsidRPr="005A7ABA">
        <w:rPr>
          <w:i/>
          <w:iCs/>
        </w:rPr>
        <w:t>rá ejercerla el Defensor del Pueblo o los personeros municipales.”</w:t>
      </w:r>
      <w:r w:rsidRPr="005A7ABA">
        <w:t xml:space="preserve"> </w:t>
      </w:r>
    </w:p>
  </w:footnote>
  <w:footnote w:id="24">
    <w:p w:rsidR="00C36B4C" w:rsidRPr="005D050F" w:rsidRDefault="00030313" w:rsidP="00C36B4C">
      <w:pPr>
        <w:pStyle w:val="Textonotapie"/>
        <w:jc w:val="both"/>
      </w:pPr>
      <w:r w:rsidRPr="005A7ABA">
        <w:rPr>
          <w:rStyle w:val="Refdenotaalpie"/>
        </w:rPr>
        <w:footnoteRef/>
      </w:r>
      <w:r w:rsidRPr="005A7ABA">
        <w:t xml:space="preserve"> De conformidad con lo dispuesto en el artículo 5 del Decreto 2591 de 1991, la acción de tutela procede contra toda acción u omisión que haya vulnerado, vulnere o amenace vulnerar cualqui</w:t>
      </w:r>
      <w:r w:rsidRPr="005A7ABA">
        <w:t>er derecho fundamental de las autoridades públicas, y, excepcionalmente,</w:t>
      </w:r>
      <w:r w:rsidRPr="005A7ABA">
        <w:rPr>
          <w:i/>
        </w:rPr>
        <w:t xml:space="preserve"> </w:t>
      </w:r>
      <w:r w:rsidRPr="005A7ABA">
        <w:t xml:space="preserve">de los particulares. Así pues, </w:t>
      </w:r>
      <w:r w:rsidRPr="005A7ABA">
        <w:rPr>
          <w:lang w:val="es-MX"/>
        </w:rPr>
        <w:t xml:space="preserve">el análisis de la legitimación por pasiva requiere verificar que </w:t>
      </w:r>
      <w:r w:rsidRPr="005A7ABA">
        <w:rPr>
          <w:i/>
          <w:iCs/>
          <w:lang w:val="es-MX"/>
        </w:rPr>
        <w:t>(i)</w:t>
      </w:r>
      <w:r w:rsidRPr="005A7ABA">
        <w:rPr>
          <w:lang w:val="es-MX"/>
        </w:rPr>
        <w:t xml:space="preserve"> el sujeto sea susceptible de ser destinatario de la acción de tutela, es decir, pro</w:t>
      </w:r>
      <w:r w:rsidRPr="005A7ABA">
        <w:rPr>
          <w:lang w:val="es-MX"/>
        </w:rPr>
        <w:t xml:space="preserve">nunciarse sobre la naturaleza </w:t>
      </w:r>
      <w:r w:rsidRPr="005D050F">
        <w:rPr>
          <w:lang w:val="es-MX"/>
        </w:rPr>
        <w:t xml:space="preserve">jurídica de la entidad demandada, y </w:t>
      </w:r>
      <w:r w:rsidRPr="005D050F">
        <w:rPr>
          <w:i/>
          <w:iCs/>
          <w:lang w:val="es-MX"/>
        </w:rPr>
        <w:t>(ii)</w:t>
      </w:r>
      <w:r w:rsidRPr="005D050F">
        <w:rPr>
          <w:lang w:val="es-MX"/>
        </w:rPr>
        <w:t xml:space="preserve"> pueda atribuírsele la presunta vulneración de los derechos fundamentales que se alega.</w:t>
      </w:r>
    </w:p>
  </w:footnote>
  <w:footnote w:id="25">
    <w:p w:rsidR="002A4425" w:rsidRPr="005D050F" w:rsidRDefault="00030313" w:rsidP="002A4425">
      <w:pPr>
        <w:pStyle w:val="Textonotapie"/>
        <w:jc w:val="both"/>
      </w:pPr>
      <w:r w:rsidRPr="005D050F">
        <w:rPr>
          <w:rStyle w:val="Refdenotaalpie"/>
        </w:rPr>
        <w:footnoteRef/>
      </w:r>
      <w:r w:rsidRPr="005D050F">
        <w:t xml:space="preserve"> “</w:t>
      </w:r>
      <w:r w:rsidRPr="005D050F">
        <w:rPr>
          <w:i/>
          <w:iCs/>
        </w:rPr>
        <w:t xml:space="preserve">Por el cual se subroga el título 17 de la parte 2 del libro 2 del Decreto 1078 de 2015, para </w:t>
      </w:r>
      <w:r w:rsidRPr="005D050F">
        <w:rPr>
          <w:i/>
          <w:iCs/>
        </w:rPr>
        <w:t>reglamentarse parcialmente los artículos 53, 54, 60, 61 y 64 de la Ley 1437 de 2011. los literales e. j y literal a del parágrafo 2 del artículo 45 de la Ley 1753 de 2015, el numeral 3 del artículo 147 de la Ley 1955 de 2019, y el artículo 9 del Decreto 21</w:t>
      </w:r>
      <w:r w:rsidRPr="005D050F">
        <w:rPr>
          <w:i/>
          <w:iCs/>
        </w:rPr>
        <w:t>06 de 2019, estableciendo los lineamientos generales en el uso y operación de los servicios ciudadanos digitales”.</w:t>
      </w:r>
      <w:r w:rsidRPr="005D050F">
        <w:rPr>
          <w:i/>
          <w:iCs/>
        </w:rPr>
        <w:t xml:space="preserve"> </w:t>
      </w:r>
      <w:r w:rsidRPr="005D050F">
        <w:t xml:space="preserve">Cabe resaltar que la competencia para expedir la cédula de ciudadanía digital </w:t>
      </w:r>
      <w:r w:rsidRPr="005D050F">
        <w:t>está en cabeza de</w:t>
      </w:r>
      <w:r w:rsidRPr="005D050F">
        <w:t xml:space="preserve"> la Registraduría Nacional del Estado Civil</w:t>
      </w:r>
      <w:r w:rsidRPr="005D050F">
        <w:t>,</w:t>
      </w:r>
      <w:r w:rsidRPr="005D050F">
        <w:t xml:space="preserve"> </w:t>
      </w:r>
      <w:r w:rsidRPr="005D050F">
        <w:t>p</w:t>
      </w:r>
      <w:r w:rsidRPr="005D050F">
        <w:t>or</w:t>
      </w:r>
      <w:r w:rsidRPr="005D050F">
        <w:t xml:space="preserve"> virtud de lo dispuesto en</w:t>
      </w:r>
      <w:r w:rsidRPr="005D050F">
        <w:t xml:space="preserve"> los artículos 120 y 266 del Texto Superior, así como por virtud de lo dispuesto en el parágrafo del artículo 3 de la Ley 3</w:t>
      </w:r>
      <w:r w:rsidRPr="005D050F">
        <w:t>8 de 1993.</w:t>
      </w:r>
    </w:p>
  </w:footnote>
  <w:footnote w:id="26">
    <w:p w:rsidR="00C36B4C" w:rsidRPr="00A74258" w:rsidRDefault="00030313" w:rsidP="00C36B4C">
      <w:pPr>
        <w:pStyle w:val="Textonotapie"/>
        <w:jc w:val="both"/>
        <w:rPr>
          <w:lang w:val="es-ES_tradnl"/>
        </w:rPr>
      </w:pPr>
      <w:r w:rsidRPr="005D050F">
        <w:rPr>
          <w:rStyle w:val="Refdenotaalpie"/>
        </w:rPr>
        <w:footnoteRef/>
      </w:r>
      <w:r w:rsidRPr="005D050F">
        <w:t xml:space="preserve"> El artículo 86 de la Constitución dispone que la acción de tutela es un mecanismo a través d</w:t>
      </w:r>
      <w:r w:rsidRPr="005D050F">
        <w:t xml:space="preserve">el cual se busca la protección inmediata de los derechos fundamentales presuntamente conculcados, razón por la cual, se exige al tutelante haber ejercido la acción en un término razonable, proporcionado, prudencial y adecuado a partir del hecho que generó </w:t>
      </w:r>
      <w:r w:rsidRPr="005D050F">
        <w:t>la presunta vulneración. El análisis de estas circunstancias deberá realizarse caso a caso. En otras palabras, este requisito exige que se acuda a la acción de tutela en un término razonable, el cual debe ser interpretado por el juez competente de manera q</w:t>
      </w:r>
      <w:r w:rsidRPr="005D050F">
        <w:t>ue sea coherente con el propósito de este mecanismo constitucional de proteger los derechos fundamentales de daños o riesgos inminentes.</w:t>
      </w:r>
      <w:r w:rsidRPr="005D050F">
        <w:rPr>
          <w:lang w:val="es-ES_tradnl"/>
        </w:rPr>
        <w:t xml:space="preserve"> </w:t>
      </w:r>
      <w:r w:rsidRPr="005D050F">
        <w:rPr>
          <w:i/>
          <w:iCs/>
        </w:rPr>
        <w:t xml:space="preserve">Cfr., </w:t>
      </w:r>
      <w:r w:rsidRPr="005D050F">
        <w:t>Corte</w:t>
      </w:r>
      <w:r w:rsidRPr="00A74258">
        <w:t xml:space="preserve"> Constitucional, Sentencias T-461 de 2019, T-091 de 2018, T-291 de 2017, T-022 de 2017 y SU-499 de 2016. </w:t>
      </w:r>
    </w:p>
  </w:footnote>
  <w:footnote w:id="27">
    <w:p w:rsidR="00C36B4C" w:rsidRPr="00A74258" w:rsidRDefault="00030313" w:rsidP="003D3976">
      <w:pPr>
        <w:pStyle w:val="Textonotapie"/>
        <w:jc w:val="both"/>
      </w:pPr>
      <w:r w:rsidRPr="00A74258">
        <w:rPr>
          <w:rStyle w:val="Refdenotaalpie"/>
        </w:rPr>
        <w:footnoteRef/>
      </w:r>
      <w:r w:rsidRPr="00A74258">
        <w:t xml:space="preserve"> </w:t>
      </w:r>
      <w:r w:rsidRPr="00A74258">
        <w:rPr>
          <w:lang w:val="es-ES_tradnl"/>
        </w:rPr>
        <w:t>Según el artículo 86 de la Constitución y las normas que lo desarrollan en el Decreto 2591 de 1991, la naturaleza de la acción de tutela es residual y subsidiaria, en el entendido que será procedente cuando no exista otro mecanismo judicial que permita ven</w:t>
      </w:r>
      <w:r w:rsidRPr="00A74258">
        <w:rPr>
          <w:lang w:val="es-ES_tradnl"/>
        </w:rPr>
        <w:t>tilar el debate planteado y garantizar la defensa de las garantías constitucionales objeto de la controversia. En el caso que se acredite otro medio judicial, para que proceda la tutela tendrá que demostrarse que no es una vía idónea y efectiva para proteg</w:t>
      </w:r>
      <w:r w:rsidRPr="00A74258">
        <w:rPr>
          <w:lang w:val="es-ES_tradnl"/>
        </w:rPr>
        <w:t>er los derechos invocados, o que el ejercicio del mecanismo constitucional está encaminado a evitar la configuración de un perjuicio irremediable. En los dos primeros escenarios la protección opera como un amparo definitivo, mientras que en el último event</w:t>
      </w:r>
      <w:r w:rsidRPr="00A74258">
        <w:rPr>
          <w:lang w:val="es-ES_tradnl"/>
        </w:rPr>
        <w:t>o corresponderá la protección transitoria. De manera reiterada, la jurisprudencia constitucional ha señalado que este carácter tiene como objeto preservar el reparto de competencias atribuido a las autoridades judiciales por la Constitución y la ley, con f</w:t>
      </w:r>
      <w:r w:rsidRPr="00A74258">
        <w:rPr>
          <w:lang w:val="es-ES_tradnl"/>
        </w:rPr>
        <w:t>undamento en los principios de autonomía e independencia judicial.</w:t>
      </w:r>
    </w:p>
  </w:footnote>
  <w:footnote w:id="28">
    <w:p w:rsidR="00380D1F" w:rsidRPr="00B03741" w:rsidRDefault="00030313" w:rsidP="00633A44">
      <w:pPr>
        <w:pStyle w:val="Textonotapie"/>
        <w:jc w:val="both"/>
      </w:pPr>
      <w:r>
        <w:rPr>
          <w:rStyle w:val="Refdenotaalpie"/>
        </w:rPr>
        <w:footnoteRef/>
      </w:r>
      <w:r>
        <w:t xml:space="preserve"> Esta disposición señala que “</w:t>
      </w:r>
      <w:r w:rsidRPr="003D3976">
        <w:rPr>
          <w:i/>
          <w:iCs/>
        </w:rPr>
        <w:t xml:space="preserve">Se sujetarán al procedimiento de jurisdicción voluntaria los siguientes asuntos: </w:t>
      </w:r>
      <w:r w:rsidRPr="00380D1F">
        <w:rPr>
          <w:i/>
          <w:iCs/>
        </w:rPr>
        <w:t>1. La licencia que soliciten el padre o madre de familia o los guardadores pa</w:t>
      </w:r>
      <w:r w:rsidRPr="00380D1F">
        <w:rPr>
          <w:i/>
          <w:iCs/>
        </w:rPr>
        <w:t>ra enajenar o gravar bienes de sus representados, o para realizar otros actos que interesen a estos, en los casos en que el Código Civil u otras leyes la exijan.</w:t>
      </w:r>
      <w:r w:rsidRPr="003D3976">
        <w:rPr>
          <w:i/>
          <w:iCs/>
        </w:rPr>
        <w:t xml:space="preserve"> </w:t>
      </w:r>
      <w:r w:rsidRPr="00380D1F">
        <w:rPr>
          <w:i/>
          <w:iCs/>
        </w:rPr>
        <w:t>2. La licencia para la emancipación voluntaria.</w:t>
      </w:r>
      <w:r w:rsidRPr="003D3976">
        <w:rPr>
          <w:i/>
          <w:iCs/>
        </w:rPr>
        <w:t xml:space="preserve"> </w:t>
      </w:r>
      <w:r w:rsidRPr="00380D1F">
        <w:rPr>
          <w:i/>
          <w:iCs/>
        </w:rPr>
        <w:t>3. La designación de guardadores, consejeros a</w:t>
      </w:r>
      <w:r w:rsidRPr="00380D1F">
        <w:rPr>
          <w:i/>
          <w:iCs/>
        </w:rPr>
        <w:t xml:space="preserve"> administradores.</w:t>
      </w:r>
      <w:r w:rsidRPr="003D3976">
        <w:rPr>
          <w:i/>
          <w:iCs/>
        </w:rPr>
        <w:t xml:space="preserve"> </w:t>
      </w:r>
      <w:r w:rsidRPr="00380D1F">
        <w:rPr>
          <w:i/>
          <w:iCs/>
        </w:rPr>
        <w:t>4. La declaración de ausencia.</w:t>
      </w:r>
      <w:r w:rsidRPr="003D3976">
        <w:rPr>
          <w:i/>
          <w:iCs/>
        </w:rPr>
        <w:t xml:space="preserve"> </w:t>
      </w:r>
      <w:r w:rsidRPr="00380D1F">
        <w:rPr>
          <w:i/>
          <w:iCs/>
        </w:rPr>
        <w:t>5. La declaración de muerte presuntiva por desaparecimiento.</w:t>
      </w:r>
      <w:r w:rsidRPr="003D3976">
        <w:rPr>
          <w:i/>
          <w:iCs/>
        </w:rPr>
        <w:t xml:space="preserve"> 6. </w:t>
      </w:r>
      <w:r w:rsidRPr="003D3976">
        <w:rPr>
          <w:i/>
          <w:iCs/>
        </w:rPr>
        <w:t>La adjudicación, modificación o terminación de apoyos en la toma de decisiones promovido por la persona titular del acto jurídico</w:t>
      </w:r>
      <w:r w:rsidRPr="00210F55">
        <w:t>.</w:t>
      </w:r>
      <w:r>
        <w:t xml:space="preserve">” </w:t>
      </w:r>
    </w:p>
  </w:footnote>
  <w:footnote w:id="29">
    <w:p w:rsidR="00B03741" w:rsidRPr="00633A44" w:rsidRDefault="00030313" w:rsidP="00633A44">
      <w:pPr>
        <w:pStyle w:val="Textonotapie"/>
        <w:jc w:val="both"/>
        <w:rPr>
          <w:i/>
          <w:iCs/>
        </w:rPr>
      </w:pPr>
      <w:r>
        <w:rPr>
          <w:rStyle w:val="Refdenotaalpie"/>
        </w:rPr>
        <w:footnoteRef/>
      </w:r>
      <w:r>
        <w:t xml:space="preserve"> El numer</w:t>
      </w:r>
      <w:r>
        <w:t xml:space="preserve">al 6 del artículo 18 de la Ley 1564 de 2012 reza que </w:t>
      </w:r>
      <w:r>
        <w:t xml:space="preserve">será competencia </w:t>
      </w:r>
      <w:r>
        <w:t xml:space="preserve">de los jueces civiles municipales en primera </w:t>
      </w:r>
      <w:r>
        <w:t>instancia “</w:t>
      </w:r>
      <w:r w:rsidRPr="00633A44">
        <w:rPr>
          <w:i/>
          <w:iCs/>
        </w:rPr>
        <w:t>De la corrección, sustitución o adición de partidas de estado civil o de nombre o anotación del seudónimo en actas o folios del re</w:t>
      </w:r>
      <w:r w:rsidRPr="00633A44">
        <w:rPr>
          <w:i/>
          <w:iCs/>
        </w:rPr>
        <w:t>gistro de aquel, sin perjuicio de la competencia atribuida por la ley a los notarios</w:t>
      </w:r>
      <w:r w:rsidRPr="00633A44">
        <w:t>.</w:t>
      </w:r>
      <w:r>
        <w:t>”</w:t>
      </w:r>
    </w:p>
  </w:footnote>
  <w:footnote w:id="30">
    <w:p w:rsidR="00790126" w:rsidRDefault="00030313" w:rsidP="00E53F3F">
      <w:pPr>
        <w:pStyle w:val="Textonotapie"/>
        <w:jc w:val="both"/>
      </w:pPr>
      <w:r>
        <w:rPr>
          <w:rStyle w:val="Refdenotaalpie"/>
        </w:rPr>
        <w:footnoteRef/>
      </w:r>
      <w:r>
        <w:t xml:space="preserve"> Corte Constitucional, Sentencia T-033 de 2022. </w:t>
      </w:r>
    </w:p>
  </w:footnote>
  <w:footnote w:id="31">
    <w:p w:rsidR="007910F5" w:rsidRDefault="00030313" w:rsidP="00E53F3F">
      <w:pPr>
        <w:pStyle w:val="Textonotapie"/>
        <w:jc w:val="both"/>
      </w:pPr>
      <w:r>
        <w:rPr>
          <w:rStyle w:val="Refdenotaalpie"/>
        </w:rPr>
        <w:footnoteRef/>
      </w:r>
      <w:r>
        <w:t xml:space="preserve"> Consejo de Estado, Sección Primera de la Sala de lo Contencioso </w:t>
      </w:r>
      <w:r>
        <w:t xml:space="preserve">Administrativo, </w:t>
      </w:r>
      <w:r>
        <w:t>Auto</w:t>
      </w:r>
      <w:r>
        <w:t xml:space="preserve"> del 31 de julio de 2014. </w:t>
      </w:r>
      <w:r>
        <w:t>Radicad</w:t>
      </w:r>
      <w:r>
        <w:t xml:space="preserve">o número </w:t>
      </w:r>
      <w:r w:rsidRPr="00A225F4">
        <w:t>25000-23-41-000-2012-00338-01</w:t>
      </w:r>
      <w:r>
        <w:t xml:space="preserve">. </w:t>
      </w:r>
    </w:p>
  </w:footnote>
  <w:footnote w:id="32">
    <w:p w:rsidR="00325EB2" w:rsidRPr="00206833" w:rsidRDefault="00030313" w:rsidP="00E53F3F">
      <w:pPr>
        <w:pStyle w:val="Textonotapie"/>
        <w:jc w:val="both"/>
      </w:pPr>
      <w:r>
        <w:rPr>
          <w:rStyle w:val="Refdenotaalpie"/>
        </w:rPr>
        <w:footnoteRef/>
      </w:r>
      <w:r>
        <w:t xml:space="preserve"> El Consejo de Estado, Sección Primera de la Sala de lo Contencioso Administrativo, mediante Auto del 31 de julio de 2014 también señaló que “</w:t>
      </w:r>
      <w:r w:rsidRPr="00206833">
        <w:rPr>
          <w:i/>
          <w:iCs/>
        </w:rPr>
        <w:t>un acto administrativo verbal produce los mismos efectos que uno escrito</w:t>
      </w:r>
      <w:r w:rsidRPr="00206833">
        <w:rPr>
          <w:i/>
          <w:iCs/>
        </w:rPr>
        <w:t>. Se debe aclarar que para efectos del control legal de los actos administrativos verbales es indispensable probar su existencia, a través de cualquiera de los medios tecnológicos con los que se cuenta hoy en día. Adicionalmente debe recalcarse que la mism</w:t>
      </w:r>
      <w:r w:rsidRPr="00206833">
        <w:rPr>
          <w:i/>
          <w:iCs/>
        </w:rPr>
        <w:t xml:space="preserve">a ley ordena que esa decisión (la cual es en sí misma un acto administrativo) sea recogida y conservada en un medio técnico, razón por la cual esta Sala considera que cuando se vaya a demandar un acto administrativo de estas características se debe exigir </w:t>
      </w:r>
      <w:r w:rsidRPr="00206833">
        <w:rPr>
          <w:i/>
          <w:iCs/>
        </w:rPr>
        <w:t>prueba de su existencia, a través del medio técnico donde haya quedado consignada la decisión o acto administrativo censurado, pues exigir, sin que la ley lo prevea, que sea a través de un medio escrito es desconocer la naturaleza misma de los procesos ver</w:t>
      </w:r>
      <w:r w:rsidRPr="00206833">
        <w:rPr>
          <w:i/>
          <w:iCs/>
        </w:rPr>
        <w:t>bales y adicionalmente seria contradecir el talante mismo del C.P.A.C.A</w:t>
      </w:r>
      <w:r>
        <w:rPr>
          <w:i/>
          <w:iCs/>
        </w:rPr>
        <w:t xml:space="preserve">”. </w:t>
      </w:r>
    </w:p>
  </w:footnote>
  <w:footnote w:id="33">
    <w:p w:rsidR="00322772" w:rsidRPr="00322772" w:rsidRDefault="00030313" w:rsidP="009D3ED8">
      <w:pPr>
        <w:pStyle w:val="Textonotapie"/>
        <w:jc w:val="both"/>
      </w:pPr>
      <w:r>
        <w:rPr>
          <w:rStyle w:val="Refdenotaalpie"/>
        </w:rPr>
        <w:footnoteRef/>
      </w:r>
      <w:r>
        <w:t xml:space="preserve"> </w:t>
      </w:r>
      <w:r>
        <w:rPr>
          <w:i/>
          <w:iCs/>
        </w:rPr>
        <w:t>Cfr.</w:t>
      </w:r>
      <w:r>
        <w:rPr>
          <w:i/>
          <w:iCs/>
        </w:rPr>
        <w:t>,</w:t>
      </w:r>
      <w:r>
        <w:rPr>
          <w:i/>
          <w:iCs/>
        </w:rPr>
        <w:t xml:space="preserve"> </w:t>
      </w:r>
      <w:r>
        <w:t>Corte Constitucional, Sentencia</w:t>
      </w:r>
      <w:r>
        <w:t>s T-143 de 2018 y</w:t>
      </w:r>
      <w:r>
        <w:t xml:space="preserve"> T-</w:t>
      </w:r>
      <w:r>
        <w:t>236 de 2023</w:t>
      </w:r>
      <w:r>
        <w:t xml:space="preserve">. </w:t>
      </w:r>
    </w:p>
  </w:footnote>
  <w:footnote w:id="34">
    <w:p w:rsidR="00F7320F" w:rsidRPr="00F7320F" w:rsidRDefault="00030313" w:rsidP="00F7320F">
      <w:pPr>
        <w:pStyle w:val="Textonotapie"/>
        <w:jc w:val="both"/>
      </w:pPr>
      <w:r>
        <w:rPr>
          <w:rStyle w:val="Refdenotaalpie"/>
        </w:rPr>
        <w:footnoteRef/>
      </w:r>
      <w:r>
        <w:t xml:space="preserve"> </w:t>
      </w:r>
      <w:r w:rsidRPr="00F7320F">
        <w:t xml:space="preserve">Al respecto, en aplicación del principio </w:t>
      </w:r>
      <w:r w:rsidRPr="00F7320F">
        <w:rPr>
          <w:i/>
          <w:iCs/>
        </w:rPr>
        <w:t xml:space="preserve">iura novit curia </w:t>
      </w:r>
      <w:r w:rsidRPr="00F7320F">
        <w:t>el juez de tutela debe actuar de forma “</w:t>
      </w:r>
      <w:r w:rsidRPr="00F7320F">
        <w:rPr>
          <w:i/>
          <w:iCs/>
        </w:rPr>
        <w:t>oficiosa</w:t>
      </w:r>
      <w:r w:rsidRPr="00F7320F">
        <w:rPr>
          <w:i/>
          <w:iCs/>
        </w:rPr>
        <w:t xml:space="preserve"> (…) en aquellos casos en los que la tutela la invoca un sujeto de especial protección constitucional o una persona que, por sus particulares circunstancias, ve limitado sus derechos de defensa.</w:t>
      </w:r>
      <w:r w:rsidRPr="00F7320F">
        <w:t>” (Corte Constitucional, Sentencia T-146 de 2010, T-851 de 201</w:t>
      </w:r>
      <w:r w:rsidRPr="00F7320F">
        <w:t xml:space="preserve">0 y T-150 de 2023). En ese sentido, es labor del juez constitucional aplicar el derecho vigente con prescindencia de lo invocado por las partes, con lo cual debe discernir los conflictos según la realidad de los hechos. En esta línea, la jurisprudencia de </w:t>
      </w:r>
      <w:r w:rsidRPr="00F7320F">
        <w:t xml:space="preserve">la Corte ha sostenido que en cuanto el juez constitucional advierta violaciones a derechos fundamentales que no se manifestaron expresamente en la demanda, podrá fallar más allá de lo solicitado para garantizar la primacía de los derechos inalienables del </w:t>
      </w:r>
      <w:r w:rsidRPr="00F7320F">
        <w:t>ser humano y la prevalencia del derecho sustancial sobre las formas (Corte Constitucional, Sentencia SU-195 de 2012). Sin perjuicio de lo anterior, es importante resaltar que este tipo de pronunciamientos son viables cuando se derivan de los hechos y prueb</w:t>
      </w:r>
      <w:r w:rsidRPr="00F7320F">
        <w:t>as que obren en el expediente, pues el alcance del principio invocado no es ilimitado e infinito. Este encuentra su límite en las pruebas consignadas en el expediente, bien sea que hayan sido aportadas con el escrito de tutela, o que se hayan obtenido en e</w:t>
      </w:r>
      <w:r w:rsidRPr="00F7320F">
        <w:t xml:space="preserve">l trámite. Ahora, con todo lo anterior, el juez constitucional está facultado para proferir fallos </w:t>
      </w:r>
      <w:r w:rsidRPr="00F7320F">
        <w:rPr>
          <w:i/>
          <w:iCs/>
        </w:rPr>
        <w:t xml:space="preserve">extra y ultra petita, </w:t>
      </w:r>
      <w:r w:rsidRPr="00F7320F">
        <w:t>como quiera que “[l]</w:t>
      </w:r>
      <w:r w:rsidRPr="00F7320F">
        <w:rPr>
          <w:i/>
          <w:iCs/>
        </w:rPr>
        <w:t>a acción de tutela tiene como función principal la real defensa y efectiva protección de los derechos fundamentales</w:t>
      </w:r>
      <w:r w:rsidRPr="00F7320F">
        <w:rPr>
          <w:i/>
          <w:iCs/>
        </w:rPr>
        <w:t>. Coadyuva al logro de ese objetivo la naturaleza informal de esta acción, al punto que el Juez constitucional no está sometido a la causa petendi y puede estudiar la vulneración de otros derechos, así el actor no haya sabido invocarlos”</w:t>
      </w:r>
      <w:r w:rsidRPr="00F7320F">
        <w:t xml:space="preserve"> (Corte Constitucio</w:t>
      </w:r>
      <w:r w:rsidRPr="00F7320F">
        <w:t>nal, Sentencia SU-195 de 2012).</w:t>
      </w:r>
    </w:p>
  </w:footnote>
  <w:footnote w:id="35">
    <w:p w:rsidR="00120C24" w:rsidRPr="00214EFE" w:rsidRDefault="00030313" w:rsidP="00120C24">
      <w:pPr>
        <w:pStyle w:val="Textonotapie"/>
        <w:jc w:val="both"/>
      </w:pPr>
      <w:r>
        <w:rPr>
          <w:rStyle w:val="Refdenotaalpie"/>
        </w:rPr>
        <w:footnoteRef/>
      </w:r>
      <w:r>
        <w:t xml:space="preserve"> </w:t>
      </w:r>
      <w:r>
        <w:rPr>
          <w:i/>
          <w:iCs/>
        </w:rPr>
        <w:t xml:space="preserve">Cfr., </w:t>
      </w:r>
      <w:r>
        <w:t xml:space="preserve">Corte Constitucional. Sentencia T-030 de 2017. Léase también la Sentencia T-909 de 2011. </w:t>
      </w:r>
    </w:p>
  </w:footnote>
  <w:footnote w:id="36">
    <w:p w:rsidR="00120C24" w:rsidRPr="00514633" w:rsidRDefault="00030313" w:rsidP="00120C24">
      <w:pPr>
        <w:pStyle w:val="Textonotapie"/>
        <w:jc w:val="both"/>
      </w:pPr>
      <w:r>
        <w:rPr>
          <w:rStyle w:val="Refdenotaalpie"/>
        </w:rPr>
        <w:footnoteRef/>
      </w:r>
      <w:r>
        <w:t xml:space="preserve"> </w:t>
      </w:r>
      <w:r>
        <w:rPr>
          <w:i/>
          <w:iCs/>
        </w:rPr>
        <w:t xml:space="preserve">Cfr., </w:t>
      </w:r>
      <w:r>
        <w:t xml:space="preserve">Corte Constitucional, Sentencia T-171 de 2022. </w:t>
      </w:r>
    </w:p>
  </w:footnote>
  <w:footnote w:id="37">
    <w:p w:rsidR="00120C24" w:rsidRPr="00FD1467" w:rsidRDefault="00030313" w:rsidP="00120C24">
      <w:pPr>
        <w:pStyle w:val="Textonotapie"/>
        <w:jc w:val="both"/>
      </w:pPr>
      <w:r>
        <w:rPr>
          <w:rStyle w:val="Refdenotaalpie"/>
        </w:rPr>
        <w:footnoteRef/>
      </w:r>
      <w:r>
        <w:t xml:space="preserve"> </w:t>
      </w:r>
      <w:r>
        <w:rPr>
          <w:i/>
          <w:iCs/>
        </w:rPr>
        <w:t xml:space="preserve">Cfr., </w:t>
      </w:r>
      <w:r>
        <w:t xml:space="preserve">Corte Constitucional, Sentencia C-178 de 2014. </w:t>
      </w:r>
    </w:p>
  </w:footnote>
  <w:footnote w:id="38">
    <w:p w:rsidR="00120C24" w:rsidRPr="00F0200B" w:rsidRDefault="00030313" w:rsidP="00120C24">
      <w:pPr>
        <w:pStyle w:val="Textonotapie"/>
        <w:jc w:val="both"/>
      </w:pPr>
      <w:r>
        <w:rPr>
          <w:rStyle w:val="Refdenotaalpie"/>
        </w:rPr>
        <w:footnoteRef/>
      </w:r>
      <w:r>
        <w:t xml:space="preserve"> </w:t>
      </w:r>
      <w:r>
        <w:rPr>
          <w:i/>
          <w:iCs/>
        </w:rPr>
        <w:t xml:space="preserve">Cfr., </w:t>
      </w:r>
      <w:r>
        <w:t xml:space="preserve">Corte </w:t>
      </w:r>
      <w:r>
        <w:t xml:space="preserve">Constitucional, Sentencia T-470 de 2022. </w:t>
      </w:r>
    </w:p>
  </w:footnote>
  <w:footnote w:id="39">
    <w:p w:rsidR="00120C24" w:rsidRDefault="00030313" w:rsidP="00120C24">
      <w:pPr>
        <w:pStyle w:val="Textonotapie"/>
        <w:jc w:val="both"/>
      </w:pPr>
      <w:r>
        <w:rPr>
          <w:rStyle w:val="Refdenotaalpie"/>
        </w:rPr>
        <w:footnoteRef/>
      </w:r>
      <w:r>
        <w:t xml:space="preserve"> “</w:t>
      </w:r>
      <w:r>
        <w:rPr>
          <w:i/>
          <w:iCs/>
        </w:rPr>
        <w:t xml:space="preserve">El Estado protegerá especialmente a aquellas personas que por su condición económica, física o mental, se encuentren en circunstancia de debilidad manifiesta y sancionará los abusos o maltratos que contra ellas </w:t>
      </w:r>
      <w:r>
        <w:rPr>
          <w:i/>
          <w:iCs/>
        </w:rPr>
        <w:t>se comentan.”</w:t>
      </w:r>
    </w:p>
  </w:footnote>
  <w:footnote w:id="40">
    <w:p w:rsidR="00120C24" w:rsidRPr="00734FDE" w:rsidRDefault="00030313" w:rsidP="00120C24">
      <w:pPr>
        <w:pStyle w:val="Textonotapie"/>
        <w:jc w:val="both"/>
      </w:pPr>
      <w:r>
        <w:rPr>
          <w:rStyle w:val="Refdenotaalpie"/>
        </w:rPr>
        <w:footnoteRef/>
      </w:r>
      <w:r>
        <w:t xml:space="preserve"> </w:t>
      </w:r>
      <w:r>
        <w:t>Manuel F. Quinche Ramírez</w:t>
      </w:r>
      <w:r>
        <w:t xml:space="preserve">. </w:t>
      </w:r>
      <w:r>
        <w:t>“</w:t>
      </w:r>
      <w:r>
        <w:t>El test de igualdad también llamado juicio integrado de igualdad</w:t>
      </w:r>
      <w:r>
        <w:t>”,</w:t>
      </w:r>
      <w:r>
        <w:t xml:space="preserve"> </w:t>
      </w:r>
      <w:r>
        <w:rPr>
          <w:i/>
          <w:iCs/>
        </w:rPr>
        <w:t>e</w:t>
      </w:r>
      <w:r>
        <w:rPr>
          <w:i/>
          <w:iCs/>
        </w:rPr>
        <w:t>n Los test constitucionales</w:t>
      </w:r>
      <w:r>
        <w:t xml:space="preserve"> </w:t>
      </w:r>
      <w:r>
        <w:t>(</w:t>
      </w:r>
      <w:r>
        <w:t xml:space="preserve">Bogotá: </w:t>
      </w:r>
      <w:r>
        <w:t xml:space="preserve">Editorial Temis, </w:t>
      </w:r>
      <w:r>
        <w:t>2022</w:t>
      </w:r>
      <w:r>
        <w:t>),</w:t>
      </w:r>
      <w:r>
        <w:t xml:space="preserve"> p</w:t>
      </w:r>
      <w:r>
        <w:t xml:space="preserve"> 275. </w:t>
      </w:r>
    </w:p>
  </w:footnote>
  <w:footnote w:id="41">
    <w:p w:rsidR="00120C24" w:rsidRDefault="00030313" w:rsidP="00120C24">
      <w:pPr>
        <w:pStyle w:val="Textonotapie"/>
        <w:jc w:val="both"/>
      </w:pPr>
      <w:r>
        <w:rPr>
          <w:rStyle w:val="Refdenotaalpie"/>
        </w:rPr>
        <w:footnoteRef/>
      </w:r>
      <w:r>
        <w:t xml:space="preserve"> Ibidem. </w:t>
      </w:r>
    </w:p>
  </w:footnote>
  <w:footnote w:id="42">
    <w:p w:rsidR="00120C24" w:rsidRDefault="00030313" w:rsidP="00120C24">
      <w:pPr>
        <w:pStyle w:val="Textonotapie"/>
        <w:jc w:val="both"/>
      </w:pPr>
      <w:r>
        <w:rPr>
          <w:rStyle w:val="Refdenotaalpie"/>
        </w:rPr>
        <w:footnoteRef/>
      </w:r>
      <w:r>
        <w:t xml:space="preserve"> Corte Constitucional, Sentencia C-178 de 2014. </w:t>
      </w:r>
    </w:p>
  </w:footnote>
  <w:footnote w:id="43">
    <w:p w:rsidR="00120C24" w:rsidRPr="00B73FF0" w:rsidRDefault="00030313" w:rsidP="00120C24">
      <w:pPr>
        <w:pStyle w:val="Textonotapie"/>
        <w:jc w:val="both"/>
      </w:pPr>
      <w:r>
        <w:rPr>
          <w:rStyle w:val="Refdenotaalpie"/>
        </w:rPr>
        <w:footnoteRef/>
      </w:r>
      <w:r>
        <w:t xml:space="preserve"> </w:t>
      </w:r>
      <w:r>
        <w:rPr>
          <w:i/>
          <w:iCs/>
        </w:rPr>
        <w:t xml:space="preserve">Cfr., </w:t>
      </w:r>
      <w:r>
        <w:t xml:space="preserve">Corte Constitucional, Sentencia T-470 de 2022. </w:t>
      </w:r>
    </w:p>
  </w:footnote>
  <w:footnote w:id="44">
    <w:p w:rsidR="00120C24" w:rsidRDefault="00030313" w:rsidP="00120C24">
      <w:pPr>
        <w:pStyle w:val="Textonotapie"/>
        <w:jc w:val="both"/>
      </w:pPr>
      <w:r>
        <w:rPr>
          <w:rStyle w:val="Refdenotaalpie"/>
        </w:rPr>
        <w:footnoteRef/>
      </w:r>
      <w:r>
        <w:t xml:space="preserve"> Corte Interamericana de Derechos Humanos. Opinión consultiva 024 de 2017. Identidad de género, e igualdad y no discriminación a parejas del mismo sexo. Noviembre 24 de 2017, serie A, número 24. P. 35.</w:t>
      </w:r>
    </w:p>
  </w:footnote>
  <w:footnote w:id="45">
    <w:p w:rsidR="00120C24" w:rsidRDefault="00030313" w:rsidP="00120C24">
      <w:pPr>
        <w:pStyle w:val="Textonotapie"/>
        <w:jc w:val="both"/>
      </w:pPr>
      <w:r>
        <w:rPr>
          <w:rStyle w:val="Refdenotaalpie"/>
        </w:rPr>
        <w:footnoteRef/>
      </w:r>
      <w:r>
        <w:t xml:space="preserve"> Cor</w:t>
      </w:r>
      <w:r>
        <w:t xml:space="preserve">te Constitucional, Sentencia C-178 de 2014. </w:t>
      </w:r>
    </w:p>
  </w:footnote>
  <w:footnote w:id="46">
    <w:p w:rsidR="00E27CA6" w:rsidRDefault="00030313" w:rsidP="00E27CA6">
      <w:pPr>
        <w:pStyle w:val="Textonotapie"/>
        <w:jc w:val="both"/>
      </w:pPr>
      <w:r>
        <w:rPr>
          <w:rStyle w:val="Refdenotaalpie"/>
        </w:rPr>
        <w:footnoteRef/>
      </w:r>
      <w:r>
        <w:t xml:space="preserve"> Corte Constitucional, Sentencia SU-337 de 1999. </w:t>
      </w:r>
    </w:p>
  </w:footnote>
  <w:footnote w:id="47">
    <w:p w:rsidR="00E27CA6" w:rsidRPr="001B7F3A" w:rsidRDefault="00030313" w:rsidP="00E27CA6">
      <w:pPr>
        <w:pStyle w:val="Textonotapie"/>
        <w:jc w:val="both"/>
      </w:pPr>
      <w:r>
        <w:rPr>
          <w:rStyle w:val="Refdenotaalpie"/>
        </w:rPr>
        <w:footnoteRef/>
      </w:r>
      <w:r>
        <w:t xml:space="preserve"> </w:t>
      </w:r>
      <w:r>
        <w:rPr>
          <w:i/>
          <w:iCs/>
        </w:rPr>
        <w:t xml:space="preserve">Cfr., </w:t>
      </w:r>
      <w:r>
        <w:t xml:space="preserve">Corte Constitucional, Sentencia SU-337 de 1999. </w:t>
      </w:r>
    </w:p>
  </w:footnote>
  <w:footnote w:id="48">
    <w:p w:rsidR="00293166" w:rsidRPr="00203845" w:rsidRDefault="00030313" w:rsidP="00140925">
      <w:pPr>
        <w:pStyle w:val="Textonotapie"/>
        <w:jc w:val="both"/>
      </w:pPr>
      <w:r>
        <w:rPr>
          <w:rStyle w:val="Refdenotaalpie"/>
        </w:rPr>
        <w:footnoteRef/>
      </w:r>
      <w:r>
        <w:t xml:space="preserve"> Según la Sentencia T-401 de 1992, la dignidad humana “</w:t>
      </w:r>
      <w:r>
        <w:rPr>
          <w:i/>
          <w:iCs/>
        </w:rPr>
        <w:t xml:space="preserve">es en verdad </w:t>
      </w:r>
      <w:r>
        <w:rPr>
          <w:b/>
          <w:bCs/>
          <w:i/>
          <w:iCs/>
        </w:rPr>
        <w:t xml:space="preserve">principio fundante </w:t>
      </w:r>
      <w:r>
        <w:rPr>
          <w:i/>
          <w:iCs/>
        </w:rPr>
        <w:t xml:space="preserve">del Estado (CP </w:t>
      </w:r>
      <w:r>
        <w:rPr>
          <w:i/>
          <w:iCs/>
        </w:rPr>
        <w:t>art1.). Más que derecho en sí mismo, la dignidad es el presupuesto esencial de la consagración y efectividad del entero sistema de derechos y garantías contemplado en la Constitución.”</w:t>
      </w:r>
    </w:p>
  </w:footnote>
  <w:footnote w:id="49">
    <w:p w:rsidR="000C117A" w:rsidRDefault="00030313" w:rsidP="00140925">
      <w:pPr>
        <w:pStyle w:val="Textonotapie"/>
        <w:jc w:val="both"/>
      </w:pPr>
      <w:r>
        <w:rPr>
          <w:rStyle w:val="Refdenotaalpie"/>
        </w:rPr>
        <w:footnoteRef/>
      </w:r>
      <w:r>
        <w:t xml:space="preserve"> Consagrado en el artículo 16 de la Constitución Política. </w:t>
      </w:r>
    </w:p>
  </w:footnote>
  <w:footnote w:id="50">
    <w:p w:rsidR="00745FA1" w:rsidRDefault="00030313" w:rsidP="00140925">
      <w:pPr>
        <w:pStyle w:val="Textonotapie"/>
        <w:jc w:val="both"/>
      </w:pPr>
      <w:r>
        <w:rPr>
          <w:rStyle w:val="Refdenotaalpie"/>
        </w:rPr>
        <w:footnoteRef/>
      </w:r>
      <w:r>
        <w:t xml:space="preserve"> Consagrado en el artículo </w:t>
      </w:r>
      <w:r>
        <w:t xml:space="preserve">15 de la Constitución Política. </w:t>
      </w:r>
    </w:p>
  </w:footnote>
  <w:footnote w:id="51">
    <w:p w:rsidR="008F2B3E" w:rsidRPr="008F2B3E" w:rsidRDefault="00030313" w:rsidP="00140925">
      <w:pPr>
        <w:pStyle w:val="Textonotapie"/>
        <w:jc w:val="both"/>
      </w:pPr>
      <w:r>
        <w:rPr>
          <w:rStyle w:val="Refdenotaalpie"/>
        </w:rPr>
        <w:footnoteRef/>
      </w:r>
      <w:r>
        <w:t xml:space="preserve"> </w:t>
      </w:r>
      <w:r>
        <w:rPr>
          <w:i/>
          <w:iCs/>
        </w:rPr>
        <w:t>Cfr.</w:t>
      </w:r>
      <w:r>
        <w:rPr>
          <w:i/>
          <w:iCs/>
        </w:rPr>
        <w:t>,</w:t>
      </w:r>
      <w:r>
        <w:rPr>
          <w:i/>
          <w:iCs/>
        </w:rPr>
        <w:t xml:space="preserve"> </w:t>
      </w:r>
      <w:r>
        <w:t xml:space="preserve">Corte Constitucional, Sentencia T-447 de 1995, retomado por la Sentencia </w:t>
      </w:r>
      <w:r>
        <w:t>SU-</w:t>
      </w:r>
      <w:r>
        <w:t>440</w:t>
      </w:r>
      <w:r>
        <w:t xml:space="preserve"> de 202</w:t>
      </w:r>
      <w:r>
        <w:t>1</w:t>
      </w:r>
      <w:r>
        <w:t xml:space="preserve">. </w:t>
      </w:r>
    </w:p>
  </w:footnote>
  <w:footnote w:id="52">
    <w:p w:rsidR="00102B48" w:rsidRDefault="00030313" w:rsidP="00140925">
      <w:pPr>
        <w:pStyle w:val="Textonotapie"/>
        <w:jc w:val="both"/>
      </w:pPr>
      <w:r>
        <w:rPr>
          <w:rStyle w:val="Refdenotaalpie"/>
        </w:rPr>
        <w:footnoteRef/>
      </w:r>
      <w:r>
        <w:t xml:space="preserve"> Corte Constitucional, Sentencia T-476 de 2014. </w:t>
      </w:r>
    </w:p>
  </w:footnote>
  <w:footnote w:id="53">
    <w:p w:rsidR="002C2834" w:rsidRPr="002C2834" w:rsidRDefault="00030313" w:rsidP="00140925">
      <w:pPr>
        <w:pStyle w:val="Textonotapie"/>
        <w:jc w:val="both"/>
      </w:pPr>
      <w:r>
        <w:rPr>
          <w:rStyle w:val="Refdenotaalpie"/>
        </w:rPr>
        <w:footnoteRef/>
      </w:r>
      <w:r>
        <w:t xml:space="preserve"> </w:t>
      </w:r>
      <w:r>
        <w:rPr>
          <w:i/>
          <w:iCs/>
        </w:rPr>
        <w:t>Cfr.</w:t>
      </w:r>
      <w:r>
        <w:rPr>
          <w:i/>
          <w:iCs/>
        </w:rPr>
        <w:t>,</w:t>
      </w:r>
      <w:r>
        <w:rPr>
          <w:i/>
          <w:iCs/>
        </w:rPr>
        <w:t xml:space="preserve"> </w:t>
      </w:r>
      <w:r>
        <w:t xml:space="preserve">Corte Constitucional, Sentencia T-063 de 2015. </w:t>
      </w:r>
    </w:p>
  </w:footnote>
  <w:footnote w:id="54">
    <w:p w:rsidR="006D034D" w:rsidRDefault="00030313" w:rsidP="0016562F">
      <w:pPr>
        <w:pStyle w:val="Textonotapie"/>
        <w:ind w:left="708" w:hanging="708"/>
        <w:jc w:val="both"/>
      </w:pPr>
      <w:r>
        <w:rPr>
          <w:rStyle w:val="Refdenotaalpie"/>
        </w:rPr>
        <w:footnoteRef/>
      </w:r>
      <w:r>
        <w:t xml:space="preserve"> </w:t>
      </w:r>
      <w:r>
        <w:t xml:space="preserve">Corte Constitucional, Sentencia T-063 de 2015. </w:t>
      </w:r>
    </w:p>
  </w:footnote>
  <w:footnote w:id="55">
    <w:p w:rsidR="00CC154B" w:rsidRPr="00CC154B" w:rsidRDefault="00030313" w:rsidP="0016562F">
      <w:pPr>
        <w:pStyle w:val="Textonotapie"/>
        <w:jc w:val="both"/>
      </w:pPr>
      <w:r>
        <w:rPr>
          <w:rStyle w:val="Refdenotaalpie"/>
        </w:rPr>
        <w:footnoteRef/>
      </w:r>
      <w:r>
        <w:t xml:space="preserve"> </w:t>
      </w:r>
      <w:r>
        <w:rPr>
          <w:i/>
          <w:iCs/>
        </w:rPr>
        <w:t>Cfr.</w:t>
      </w:r>
      <w:r>
        <w:rPr>
          <w:i/>
          <w:iCs/>
        </w:rPr>
        <w:t>,</w:t>
      </w:r>
      <w:r>
        <w:rPr>
          <w:i/>
          <w:iCs/>
        </w:rPr>
        <w:t xml:space="preserve"> </w:t>
      </w:r>
      <w:r>
        <w:t>Corte Constitucional, Sentencia T-</w:t>
      </w:r>
      <w:r>
        <w:t xml:space="preserve">192 de 2020. </w:t>
      </w:r>
    </w:p>
  </w:footnote>
  <w:footnote w:id="56">
    <w:p w:rsidR="00894253" w:rsidRDefault="00030313" w:rsidP="0016562F">
      <w:pPr>
        <w:pStyle w:val="Textonotapie"/>
        <w:jc w:val="both"/>
      </w:pPr>
      <w:r>
        <w:rPr>
          <w:rStyle w:val="Refdenotaalpie"/>
        </w:rPr>
        <w:footnoteRef/>
      </w:r>
      <w:r>
        <w:t xml:space="preserve"> Corte Constitucional, Sentencia T-363 de 2016</w:t>
      </w:r>
      <w:r>
        <w:t xml:space="preserve">, retomada por la Sentencia T-192 de 2020. </w:t>
      </w:r>
    </w:p>
  </w:footnote>
  <w:footnote w:id="57">
    <w:p w:rsidR="003A04B1" w:rsidRDefault="00030313" w:rsidP="0016562F">
      <w:pPr>
        <w:pStyle w:val="Textonotapie"/>
        <w:jc w:val="both"/>
      </w:pPr>
      <w:r>
        <w:rPr>
          <w:rStyle w:val="Refdenotaalpie"/>
        </w:rPr>
        <w:footnoteRef/>
      </w:r>
      <w:r>
        <w:t xml:space="preserve"> </w:t>
      </w:r>
      <w:r>
        <w:rPr>
          <w:i/>
          <w:iCs/>
        </w:rPr>
        <w:t xml:space="preserve">Cfr., </w:t>
      </w:r>
      <w:r>
        <w:t>Corte Constitucional,</w:t>
      </w:r>
      <w:r>
        <w:t xml:space="preserve"> </w:t>
      </w:r>
      <w:r>
        <w:t>S</w:t>
      </w:r>
      <w:r>
        <w:t xml:space="preserve">entencias </w:t>
      </w:r>
      <w:r>
        <w:t>T-562 de 2013, T</w:t>
      </w:r>
      <w:r>
        <w:t xml:space="preserve">-363 de 2016, T-143 de 2018 y T-192 de 2020, entre otras. </w:t>
      </w:r>
    </w:p>
  </w:footnote>
  <w:footnote w:id="58">
    <w:p w:rsidR="00BE1DBB" w:rsidRDefault="00030313" w:rsidP="0016562F">
      <w:pPr>
        <w:pStyle w:val="Textonotapie"/>
        <w:jc w:val="both"/>
      </w:pPr>
      <w:r>
        <w:rPr>
          <w:rStyle w:val="Refdenotaalpie"/>
        </w:rPr>
        <w:footnoteRef/>
      </w:r>
      <w:r>
        <w:t xml:space="preserve"> Corte Constitucional, Sentencia SU-440 de 2021. </w:t>
      </w:r>
    </w:p>
  </w:footnote>
  <w:footnote w:id="59">
    <w:p w:rsidR="0059269A" w:rsidRDefault="00030313" w:rsidP="0016562F">
      <w:pPr>
        <w:pStyle w:val="Textonotapie"/>
        <w:jc w:val="both"/>
      </w:pPr>
      <w:r>
        <w:rPr>
          <w:rStyle w:val="Refdenotaalpie"/>
        </w:rPr>
        <w:footnoteRef/>
      </w:r>
      <w:r>
        <w:t xml:space="preserve"> Ibidem. </w:t>
      </w:r>
    </w:p>
  </w:footnote>
  <w:footnote w:id="60">
    <w:p w:rsidR="00AC31A6" w:rsidRDefault="00030313" w:rsidP="0016562F">
      <w:pPr>
        <w:pStyle w:val="Textonotapie"/>
        <w:jc w:val="both"/>
      </w:pPr>
      <w:r>
        <w:rPr>
          <w:rStyle w:val="Refdenotaalpie"/>
        </w:rPr>
        <w:footnoteRef/>
      </w:r>
      <w:r>
        <w:t xml:space="preserve"> </w:t>
      </w:r>
      <w:r w:rsidRPr="00913E49">
        <w:t>Corte IDH, Opinión Consultiva OC-24/17, Identidad de género, e igualdad y no discrim</w:t>
      </w:r>
      <w:r w:rsidRPr="00913E49">
        <w:t>inación a parejas del mismo sexo, 24 de noviembre de 2017, párr. 98</w:t>
      </w:r>
      <w:r>
        <w:t xml:space="preserve">. Retomado por la Sentencia SU-440 de 2021. </w:t>
      </w:r>
    </w:p>
  </w:footnote>
  <w:footnote w:id="61">
    <w:p w:rsidR="00992EDB" w:rsidRPr="00992EDB" w:rsidRDefault="00030313" w:rsidP="0016562F">
      <w:pPr>
        <w:pStyle w:val="Textonotapie"/>
        <w:jc w:val="both"/>
      </w:pPr>
      <w:r>
        <w:rPr>
          <w:rStyle w:val="Refdenotaalpie"/>
        </w:rPr>
        <w:footnoteRef/>
      </w:r>
      <w:r>
        <w:t xml:space="preserve"> </w:t>
      </w:r>
      <w:r>
        <w:rPr>
          <w:i/>
          <w:iCs/>
        </w:rPr>
        <w:t>Cfr.</w:t>
      </w:r>
      <w:r>
        <w:rPr>
          <w:i/>
          <w:iCs/>
        </w:rPr>
        <w:t>,</w:t>
      </w:r>
      <w:r>
        <w:rPr>
          <w:i/>
          <w:iCs/>
        </w:rPr>
        <w:t xml:space="preserve"> </w:t>
      </w:r>
      <w:r>
        <w:t xml:space="preserve">Corte Constitucional, Sentencia SU-440 de 2021. </w:t>
      </w:r>
    </w:p>
  </w:footnote>
  <w:footnote w:id="62">
    <w:p w:rsidR="00932E1E" w:rsidRDefault="00030313" w:rsidP="0016562F">
      <w:pPr>
        <w:pStyle w:val="Textonotapie"/>
        <w:jc w:val="both"/>
      </w:pPr>
      <w:r>
        <w:rPr>
          <w:rStyle w:val="Refdenotaalpie"/>
        </w:rPr>
        <w:footnoteRef/>
      </w:r>
      <w:r>
        <w:t xml:space="preserve"> Corte Constitucional, Sentencia SU-440 de 2021. </w:t>
      </w:r>
    </w:p>
  </w:footnote>
  <w:footnote w:id="63">
    <w:p w:rsidR="008B0CCC" w:rsidRPr="008B0CCC" w:rsidRDefault="00030313">
      <w:pPr>
        <w:pStyle w:val="Textonotapie"/>
      </w:pPr>
      <w:r>
        <w:rPr>
          <w:rStyle w:val="Refdenotaalpie"/>
        </w:rPr>
        <w:footnoteRef/>
      </w:r>
      <w:r>
        <w:t xml:space="preserve"> </w:t>
      </w:r>
      <w:r>
        <w:rPr>
          <w:i/>
          <w:iCs/>
        </w:rPr>
        <w:t xml:space="preserve">Cfr. </w:t>
      </w:r>
      <w:r>
        <w:t>Corte Constitucional, Sentenc</w:t>
      </w:r>
      <w:r>
        <w:t>ia SU-</w:t>
      </w:r>
      <w:r>
        <w:t xml:space="preserve">440 de 2021. </w:t>
      </w:r>
    </w:p>
  </w:footnote>
  <w:footnote w:id="64">
    <w:p w:rsidR="00082730" w:rsidRDefault="00030313" w:rsidP="00F51C57">
      <w:pPr>
        <w:pStyle w:val="Textonotapie"/>
        <w:jc w:val="both"/>
      </w:pPr>
      <w:r>
        <w:rPr>
          <w:rStyle w:val="Refdenotaalpie"/>
        </w:rPr>
        <w:footnoteRef/>
      </w:r>
      <w:r>
        <w:t xml:space="preserve"> Corte Interamericana de Derechos Humanos. Opinión consultiva del 24 de noviembre de 2017 “</w:t>
      </w:r>
      <w:r>
        <w:t>I</w:t>
      </w:r>
      <w:r w:rsidRPr="00A45DD1">
        <w:t>dentidad de género, y no discriminación a parejas del mismo sexo</w:t>
      </w:r>
      <w:r>
        <w:t xml:space="preserve">”. </w:t>
      </w:r>
    </w:p>
  </w:footnote>
  <w:footnote w:id="65">
    <w:p w:rsidR="005D1627" w:rsidRPr="00017C95" w:rsidRDefault="00030313" w:rsidP="001A1FE1">
      <w:pPr>
        <w:pStyle w:val="Textonotapie"/>
        <w:jc w:val="both"/>
      </w:pPr>
      <w:r>
        <w:rPr>
          <w:rStyle w:val="Refdenotaalpie"/>
        </w:rPr>
        <w:footnoteRef/>
      </w:r>
      <w:r>
        <w:t xml:space="preserve"> Informe</w:t>
      </w:r>
      <w:r>
        <w:t xml:space="preserve"> anual del Alto Comisionado de las Naciones Unidas para los Derechos Humanos e informes de la Oficina del Alto Comisionado y del Secretario</w:t>
      </w:r>
      <w:r>
        <w:t xml:space="preserve"> </w:t>
      </w:r>
      <w:r>
        <w:t>General</w:t>
      </w:r>
      <w:r>
        <w:t xml:space="preserve"> “</w:t>
      </w:r>
      <w:r>
        <w:rPr>
          <w:i/>
          <w:iCs/>
        </w:rPr>
        <w:t>Leyes y prácticas discriminatorias y actos de violencia cometidos contra personas por su orientación sexual</w:t>
      </w:r>
      <w:r>
        <w:rPr>
          <w:i/>
          <w:iCs/>
        </w:rPr>
        <w:t xml:space="preserve"> e identidad de género”. </w:t>
      </w:r>
      <w:r>
        <w:t xml:space="preserve">17 de noviembre de 2011. </w:t>
      </w:r>
    </w:p>
  </w:footnote>
  <w:footnote w:id="66">
    <w:p w:rsidR="00654618" w:rsidRPr="00654618" w:rsidRDefault="00030313" w:rsidP="00DC4D30">
      <w:pPr>
        <w:pStyle w:val="Textonotapie"/>
        <w:jc w:val="both"/>
      </w:pPr>
      <w:r>
        <w:rPr>
          <w:rStyle w:val="Refdenotaalpie"/>
        </w:rPr>
        <w:footnoteRef/>
      </w:r>
      <w:r>
        <w:t xml:space="preserve"> Sobre el concepto de violencia de género y su relevancia para el derecho. Francesca Poggi,</w:t>
      </w:r>
      <w:r>
        <w:rPr>
          <w:i/>
          <w:iCs/>
        </w:rPr>
        <w:t xml:space="preserve"> Cuadernos de filosofía del derecho</w:t>
      </w:r>
      <w:r>
        <w:t xml:space="preserve">. </w:t>
      </w:r>
      <w:r>
        <w:t xml:space="preserve">2019. P. 287. </w:t>
      </w:r>
    </w:p>
  </w:footnote>
  <w:footnote w:id="67">
    <w:p w:rsidR="006C238F" w:rsidRPr="008F743B" w:rsidRDefault="00030313" w:rsidP="00DC4D30">
      <w:pPr>
        <w:pStyle w:val="Textonotapie"/>
        <w:jc w:val="both"/>
        <w:rPr>
          <w:lang w:val="en-US"/>
        </w:rPr>
      </w:pPr>
      <w:r>
        <w:rPr>
          <w:rStyle w:val="Refdenotaalpie"/>
        </w:rPr>
        <w:footnoteRef/>
      </w:r>
      <w:r w:rsidRPr="008A65DB">
        <w:t xml:space="preserve"> Gender: a useful category of historical analysis. </w:t>
      </w:r>
      <w:r w:rsidRPr="006C238F">
        <w:rPr>
          <w:lang w:val="en-US"/>
        </w:rPr>
        <w:t>Joan W. S</w:t>
      </w:r>
      <w:r w:rsidRPr="006C238F">
        <w:rPr>
          <w:lang w:val="en-US"/>
        </w:rPr>
        <w:t xml:space="preserve">cott. </w:t>
      </w:r>
      <w:r w:rsidRPr="008F743B">
        <w:rPr>
          <w:i/>
          <w:iCs/>
          <w:lang w:val="en-US"/>
        </w:rPr>
        <w:t>The American</w:t>
      </w:r>
      <w:r w:rsidRPr="008F743B">
        <w:rPr>
          <w:i/>
          <w:iCs/>
          <w:lang w:val="en-US"/>
        </w:rPr>
        <w:t xml:space="preserve"> Historical Review. </w:t>
      </w:r>
      <w:r w:rsidRPr="008F743B">
        <w:rPr>
          <w:lang w:val="en-US"/>
        </w:rPr>
        <w:t xml:space="preserve">Vol 91. Pp. 1053-1075. </w:t>
      </w:r>
    </w:p>
  </w:footnote>
  <w:footnote w:id="68">
    <w:p w:rsidR="00382110" w:rsidRPr="008F743B" w:rsidRDefault="00030313" w:rsidP="00DC4D30">
      <w:pPr>
        <w:pStyle w:val="Textonotapie"/>
        <w:jc w:val="both"/>
        <w:rPr>
          <w:lang w:val="en-US"/>
        </w:rPr>
      </w:pPr>
      <w:r>
        <w:rPr>
          <w:rStyle w:val="Refdenotaalpie"/>
        </w:rPr>
        <w:footnoteRef/>
      </w:r>
      <w:r w:rsidRPr="00CD3842">
        <w:rPr>
          <w:lang w:val="en-US"/>
        </w:rPr>
        <w:t xml:space="preserve"> </w:t>
      </w:r>
      <w:r w:rsidRPr="00CD3842">
        <w:rPr>
          <w:lang w:val="en-US"/>
        </w:rPr>
        <w:t>Non-binary activism. S. Bear Bergman y Meg-Joh</w:t>
      </w:r>
      <w:r>
        <w:rPr>
          <w:lang w:val="en-US"/>
        </w:rPr>
        <w:t xml:space="preserve">n Barker. </w:t>
      </w:r>
      <w:r w:rsidRPr="00CD3842">
        <w:rPr>
          <w:lang w:val="en-US"/>
        </w:rPr>
        <w:t xml:space="preserve">En </w:t>
      </w:r>
      <w:r w:rsidRPr="00CD3842">
        <w:rPr>
          <w:i/>
          <w:iCs/>
          <w:lang w:val="en-US"/>
        </w:rPr>
        <w:t>Genderqueer and non-binar</w:t>
      </w:r>
      <w:r>
        <w:rPr>
          <w:i/>
          <w:iCs/>
          <w:lang w:val="en-US"/>
        </w:rPr>
        <w:t xml:space="preserve">y genders. </w:t>
      </w:r>
      <w:r w:rsidRPr="008F743B">
        <w:rPr>
          <w:lang w:val="en-US"/>
        </w:rPr>
        <w:t xml:space="preserve">Palgrave Macmillan. </w:t>
      </w:r>
      <w:r w:rsidRPr="008F743B">
        <w:rPr>
          <w:lang w:val="en-US"/>
        </w:rPr>
        <w:t xml:space="preserve">2017. </w:t>
      </w:r>
    </w:p>
  </w:footnote>
  <w:footnote w:id="69">
    <w:p w:rsidR="00101369" w:rsidRPr="008F743B" w:rsidRDefault="00030313" w:rsidP="00DC4D30">
      <w:pPr>
        <w:pStyle w:val="Textonotapie"/>
        <w:jc w:val="both"/>
        <w:rPr>
          <w:lang w:val="en-US"/>
        </w:rPr>
      </w:pPr>
      <w:r>
        <w:rPr>
          <w:rStyle w:val="Refdenotaalpie"/>
        </w:rPr>
        <w:footnoteRef/>
      </w:r>
      <w:r w:rsidRPr="008F743B">
        <w:rPr>
          <w:lang w:val="en-US"/>
        </w:rPr>
        <w:t xml:space="preserve"> Ibidem. </w:t>
      </w:r>
    </w:p>
  </w:footnote>
  <w:footnote w:id="70">
    <w:p w:rsidR="003C2E2F" w:rsidRPr="003C2E2F" w:rsidRDefault="00030313" w:rsidP="00DC4D30">
      <w:pPr>
        <w:pStyle w:val="Textonotapie"/>
        <w:jc w:val="both"/>
      </w:pPr>
      <w:r>
        <w:rPr>
          <w:rStyle w:val="Refdenotaalpie"/>
        </w:rPr>
        <w:footnoteRef/>
      </w:r>
      <w:r w:rsidRPr="003C2E2F">
        <w:rPr>
          <w:lang w:val="en-US"/>
        </w:rPr>
        <w:t xml:space="preserve"> Law. Rob Lucas y S</w:t>
      </w:r>
      <w:r>
        <w:rPr>
          <w:lang w:val="en-US"/>
        </w:rPr>
        <w:t>tephen Wittle. En</w:t>
      </w:r>
      <w:r>
        <w:rPr>
          <w:i/>
          <w:iCs/>
          <w:lang w:val="en-US"/>
        </w:rPr>
        <w:t xml:space="preserve"> </w:t>
      </w:r>
      <w:r w:rsidRPr="00CD3842">
        <w:rPr>
          <w:i/>
          <w:iCs/>
          <w:lang w:val="en-US"/>
        </w:rPr>
        <w:t xml:space="preserve">Genderqueer and </w:t>
      </w:r>
      <w:r w:rsidRPr="00CD3842">
        <w:rPr>
          <w:i/>
          <w:iCs/>
          <w:lang w:val="en-US"/>
        </w:rPr>
        <w:t>non-binar</w:t>
      </w:r>
      <w:r>
        <w:rPr>
          <w:i/>
          <w:iCs/>
          <w:lang w:val="en-US"/>
        </w:rPr>
        <w:t xml:space="preserve">y genders. </w:t>
      </w:r>
      <w:r w:rsidRPr="003C2E2F">
        <w:t xml:space="preserve">Palgrave Macmillan. 2017. </w:t>
      </w:r>
    </w:p>
  </w:footnote>
  <w:footnote w:id="71">
    <w:p w:rsidR="00E43E46" w:rsidRPr="00ED5567" w:rsidRDefault="00030313" w:rsidP="00DC4D30">
      <w:pPr>
        <w:pStyle w:val="Textonotapie"/>
        <w:jc w:val="both"/>
      </w:pPr>
      <w:r>
        <w:rPr>
          <w:rStyle w:val="Refdenotaalpie"/>
        </w:rPr>
        <w:footnoteRef/>
      </w:r>
      <w:r>
        <w:t xml:space="preserve"> </w:t>
      </w:r>
      <w:r>
        <w:rPr>
          <w:i/>
          <w:iCs/>
        </w:rPr>
        <w:t>Cfr.</w:t>
      </w:r>
      <w:r>
        <w:rPr>
          <w:i/>
          <w:iCs/>
        </w:rPr>
        <w:t>,</w:t>
      </w:r>
      <w:r>
        <w:rPr>
          <w:i/>
          <w:iCs/>
        </w:rPr>
        <w:t xml:space="preserve"> </w:t>
      </w:r>
      <w:r>
        <w:t xml:space="preserve">Corte Constitucional, Sentencia T-033 de 2022. </w:t>
      </w:r>
    </w:p>
  </w:footnote>
  <w:footnote w:id="72">
    <w:p w:rsidR="00E43E46" w:rsidRDefault="00030313" w:rsidP="00DC4D30">
      <w:pPr>
        <w:pStyle w:val="Textonotapie"/>
        <w:jc w:val="both"/>
      </w:pPr>
      <w:r>
        <w:rPr>
          <w:rStyle w:val="Refdenotaalpie"/>
        </w:rPr>
        <w:footnoteRef/>
      </w:r>
      <w:r>
        <w:t xml:space="preserve"> La Sentencia T-033 de 2022 estudió el reconocimiento del género “no binario” con relación a su consignación en documentos de identidad. En concreto, resaltó los estudios de caso de países como Alemania, Argentina, Australia, Austria, Bélgica, Canadá, Dina</w:t>
      </w:r>
      <w:r>
        <w:t xml:space="preserve">marca, Estados Unidos, Islandia, India, Malta, Nepal, Países Bajos y Pakistán. Para ahondar en los datos encontrados sobre cada uno de los países referidos, se sugiere consultar la Sentencia T-033 de 2022. </w:t>
      </w:r>
    </w:p>
  </w:footnote>
  <w:footnote w:id="73">
    <w:p w:rsidR="00E43E46" w:rsidRDefault="00030313" w:rsidP="00DC4D30">
      <w:pPr>
        <w:pStyle w:val="Textonotapie"/>
        <w:jc w:val="both"/>
      </w:pPr>
      <w:r>
        <w:rPr>
          <w:rStyle w:val="Refdenotaalpie"/>
        </w:rPr>
        <w:footnoteRef/>
      </w:r>
      <w:r>
        <w:t xml:space="preserve"> Corte Constitucional, Sentencia T-033 de 2022. </w:t>
      </w:r>
    </w:p>
  </w:footnote>
  <w:footnote w:id="74">
    <w:p w:rsidR="00892885" w:rsidRPr="00892885" w:rsidRDefault="00030313" w:rsidP="00DC4D30">
      <w:pPr>
        <w:pStyle w:val="Textonotapie"/>
        <w:jc w:val="both"/>
      </w:pPr>
      <w:r>
        <w:rPr>
          <w:rStyle w:val="Refdenotaalpie"/>
        </w:rPr>
        <w:footnoteRef/>
      </w:r>
      <w:r>
        <w:t xml:space="preserve"> </w:t>
      </w:r>
      <w:r>
        <w:rPr>
          <w:i/>
          <w:iCs/>
        </w:rPr>
        <w:t>Cfr.</w:t>
      </w:r>
      <w:r>
        <w:rPr>
          <w:i/>
          <w:iCs/>
        </w:rPr>
        <w:t>,</w:t>
      </w:r>
      <w:r>
        <w:rPr>
          <w:i/>
          <w:iCs/>
        </w:rPr>
        <w:t xml:space="preserve"> </w:t>
      </w:r>
      <w:r>
        <w:t>Corte Constitucional, Sentencia SU</w:t>
      </w:r>
      <w:r>
        <w:t>-</w:t>
      </w:r>
      <w:r>
        <w:t xml:space="preserve">440 de 2021. </w:t>
      </w:r>
    </w:p>
  </w:footnote>
  <w:footnote w:id="75">
    <w:p w:rsidR="00A50C68" w:rsidRDefault="00030313" w:rsidP="00DC4D30">
      <w:pPr>
        <w:pStyle w:val="Textonotapie"/>
        <w:jc w:val="both"/>
      </w:pPr>
      <w:r>
        <w:rPr>
          <w:rStyle w:val="Refdenotaalpie"/>
        </w:rPr>
        <w:footnoteRef/>
      </w:r>
      <w:r>
        <w:t xml:space="preserve"> </w:t>
      </w:r>
      <w:r>
        <w:rPr>
          <w:i/>
          <w:iCs/>
        </w:rPr>
        <w:t xml:space="preserve">Cfr., </w:t>
      </w:r>
      <w:r>
        <w:t>Corte Constitucional, S</w:t>
      </w:r>
      <w:r>
        <w:t>entencias T-</w:t>
      </w:r>
      <w:r>
        <w:t>062 de 2011</w:t>
      </w:r>
      <w:r>
        <w:t>,</w:t>
      </w:r>
      <w:r>
        <w:t xml:space="preserve"> T-363 de 2016 y T-030 de 2017. </w:t>
      </w:r>
    </w:p>
  </w:footnote>
  <w:footnote w:id="76">
    <w:p w:rsidR="002719F7" w:rsidRDefault="00030313" w:rsidP="00084F36">
      <w:pPr>
        <w:pStyle w:val="Textonotapie"/>
        <w:jc w:val="both"/>
      </w:pPr>
      <w:r>
        <w:rPr>
          <w:rStyle w:val="Refdenotaalpie"/>
        </w:rPr>
        <w:footnoteRef/>
      </w:r>
      <w:r>
        <w:t xml:space="preserve"> Ratificado por Colombia a través de la Ley 74 de 1968. </w:t>
      </w:r>
    </w:p>
  </w:footnote>
  <w:footnote w:id="77">
    <w:p w:rsidR="002719F7" w:rsidRDefault="00030313" w:rsidP="00084F36">
      <w:pPr>
        <w:pStyle w:val="Textonotapie"/>
        <w:jc w:val="both"/>
      </w:pPr>
      <w:r>
        <w:rPr>
          <w:rStyle w:val="Refdenotaalpie"/>
        </w:rPr>
        <w:footnoteRef/>
      </w:r>
      <w:r>
        <w:t xml:space="preserve"> Ratificada por Colombia a través de la Ley 16 de 1972. </w:t>
      </w:r>
    </w:p>
  </w:footnote>
  <w:footnote w:id="78">
    <w:p w:rsidR="00AB1A43" w:rsidRPr="00AB1A43" w:rsidRDefault="00030313" w:rsidP="00084F36">
      <w:pPr>
        <w:pStyle w:val="Textonotapie"/>
        <w:jc w:val="both"/>
      </w:pPr>
      <w:r>
        <w:rPr>
          <w:rStyle w:val="Refdenotaalpie"/>
        </w:rPr>
        <w:footnoteRef/>
      </w:r>
      <w:r>
        <w:t xml:space="preserve"> </w:t>
      </w:r>
      <w:r>
        <w:rPr>
          <w:i/>
          <w:iCs/>
        </w:rPr>
        <w:t>Cfr.</w:t>
      </w:r>
      <w:r>
        <w:rPr>
          <w:i/>
          <w:iCs/>
        </w:rPr>
        <w:t>,</w:t>
      </w:r>
      <w:r>
        <w:rPr>
          <w:i/>
          <w:iCs/>
        </w:rPr>
        <w:t xml:space="preserve"> </w:t>
      </w:r>
      <w:r>
        <w:t>Corte Constitucional</w:t>
      </w:r>
      <w:r>
        <w:t xml:space="preserve"> Sentencia T-241 de 2018. </w:t>
      </w:r>
    </w:p>
  </w:footnote>
  <w:footnote w:id="79">
    <w:p w:rsidR="000B7C03" w:rsidRPr="008533B5" w:rsidRDefault="00030313" w:rsidP="00084F36">
      <w:pPr>
        <w:pStyle w:val="Textonotapie"/>
        <w:jc w:val="both"/>
      </w:pPr>
      <w:r>
        <w:rPr>
          <w:rStyle w:val="Refdenotaalpie"/>
        </w:rPr>
        <w:footnoteRef/>
      </w:r>
      <w:r>
        <w:t xml:space="preserve"> El artículo referido dispone las siguientes reglas para la corrección del componente sexo en el registro civil de nacimiento, </w:t>
      </w:r>
      <w:r>
        <w:t xml:space="preserve">en el marco del </w:t>
      </w:r>
      <w:r>
        <w:t>proceso administrativo: “</w:t>
      </w:r>
      <w:r w:rsidRPr="00791757">
        <w:rPr>
          <w:i/>
          <w:iCs/>
          <w:lang w:val="es-ES"/>
        </w:rPr>
        <w:t>La persona que solicite la corrección del componente sexo en el Registro del Estado Civil deberá presentar una petición ante notario. La solicitud deberá ir acompañada de los documentos descritos en el artículo 2.2.6.12.4.5., de la</w:t>
      </w:r>
      <w:r w:rsidRPr="00791757">
        <w:rPr>
          <w:i/>
          <w:iCs/>
          <w:lang w:val="es-ES"/>
        </w:rPr>
        <w:t xml:space="preserve"> presente sección.</w:t>
      </w:r>
      <w:r>
        <w:rPr>
          <w:lang w:val="es-ES"/>
        </w:rPr>
        <w:t xml:space="preserve"> </w:t>
      </w:r>
      <w:r w:rsidRPr="00791757">
        <w:rPr>
          <w:i/>
          <w:iCs/>
          <w:lang w:val="es-ES"/>
        </w:rPr>
        <w:t>Una vez radicada la petición con la documentación completa, el Notario deberá expedir la Escritura Pública a más tardar dentro de los cinco (5) días hábiles siguientes a la presentación de la solicitud.</w:t>
      </w:r>
      <w:r>
        <w:t xml:space="preserve"> </w:t>
      </w:r>
      <w:r w:rsidRPr="00791757">
        <w:rPr>
          <w:i/>
          <w:iCs/>
          <w:lang w:val="es-ES"/>
        </w:rPr>
        <w:t>La corrección se hará por escritur</w:t>
      </w:r>
      <w:r w:rsidRPr="00791757">
        <w:rPr>
          <w:i/>
          <w:iCs/>
          <w:lang w:val="es-ES"/>
        </w:rPr>
        <w:t>a pública en la que se protocolizarán los documentos que la fundamenten. Una vez autorizada la escritura, se procederá a la sustitución del folio correspondiente. En el nuevo folio se consignarán los datos ya corregidos y en los dos se colocarán notas de r</w:t>
      </w:r>
      <w:r w:rsidRPr="00791757">
        <w:rPr>
          <w:i/>
          <w:iCs/>
          <w:lang w:val="es-ES"/>
        </w:rPr>
        <w:t>eferencia recíproca, según lo dispuesto en el artículo </w:t>
      </w:r>
      <w:hyperlink r:id="rId11" w:anchor="91" w:history="1">
        <w:r w:rsidRPr="00791757">
          <w:rPr>
            <w:rStyle w:val="Hipervnculo"/>
            <w:i/>
            <w:iCs/>
            <w:lang w:val="es-ES"/>
          </w:rPr>
          <w:t>91</w:t>
        </w:r>
      </w:hyperlink>
      <w:r w:rsidRPr="00791757">
        <w:rPr>
          <w:i/>
          <w:iCs/>
          <w:lang w:val="es-ES"/>
        </w:rPr>
        <w:t> del Decreto Ley 1260 de 1970, modificado por el artículo 4 del Decreto Ley 999 de 1988.</w:t>
      </w:r>
      <w:r>
        <w:t xml:space="preserve"> </w:t>
      </w:r>
      <w:r w:rsidRPr="00791757">
        <w:rPr>
          <w:i/>
          <w:iCs/>
          <w:lang w:val="es-ES"/>
        </w:rPr>
        <w:t xml:space="preserve">La Registraduría </w:t>
      </w:r>
      <w:r w:rsidRPr="00791757">
        <w:rPr>
          <w:i/>
          <w:iCs/>
          <w:lang w:val="es-ES"/>
        </w:rPr>
        <w:t>Nacional del Estado Civil realizará lo correspondiente a la corrección del Registro Civil de Nacimiento, en el marco de su competencia. En desarrollo de lo anterior, deberá prever la expedición de copia del Registro Civil sustituido a la persona que haya r</w:t>
      </w:r>
      <w:r w:rsidRPr="00791757">
        <w:rPr>
          <w:i/>
          <w:iCs/>
          <w:lang w:val="es-ES"/>
        </w:rPr>
        <w:t>ealizado la corrección del componente sexo, en el que estarán los datos del inscrito que fueron objeto de modificación.</w:t>
      </w:r>
      <w:r>
        <w:rPr>
          <w:b/>
          <w:bCs/>
          <w:i/>
          <w:iCs/>
        </w:rPr>
        <w:t xml:space="preserve"> Parágrafo.</w:t>
      </w:r>
      <w:r w:rsidRPr="008533B5">
        <w:rPr>
          <w:i/>
          <w:iCs/>
        </w:rPr>
        <w:t xml:space="preserve"> </w:t>
      </w:r>
      <w:r w:rsidRPr="008533B5">
        <w:rPr>
          <w:i/>
          <w:iCs/>
          <w:lang w:val="es-ES"/>
        </w:rPr>
        <w:t xml:space="preserve">Si la escritura pública se otorgare en una notaría u oficina diferente de aquella en la cual reposa el registro civil objeto </w:t>
      </w:r>
      <w:r w:rsidRPr="008533B5">
        <w:rPr>
          <w:i/>
          <w:iCs/>
          <w:lang w:val="es-ES"/>
        </w:rPr>
        <w:t>de la corrección, el notario respectivo procederá a remitir copia de la escritura, a costa del interesado, con destino al funcionario competente del registro civil, para que se haga la correspondiente sustitución de folio. Lo anterior deberá realizarse a m</w:t>
      </w:r>
      <w:r w:rsidRPr="008533B5">
        <w:rPr>
          <w:i/>
          <w:iCs/>
          <w:lang w:val="es-ES"/>
        </w:rPr>
        <w:t>ás tardar dentro de los tres (3) días siguientes a la expedición de la escritura pública.</w:t>
      </w:r>
      <w:r>
        <w:rPr>
          <w:i/>
          <w:iCs/>
          <w:lang w:val="es-ES"/>
        </w:rPr>
        <w:t>”</w:t>
      </w:r>
    </w:p>
  </w:footnote>
  <w:footnote w:id="80">
    <w:p w:rsidR="006A4754" w:rsidRPr="006A4754" w:rsidRDefault="00030313" w:rsidP="00084F36">
      <w:pPr>
        <w:pStyle w:val="Textonotapie"/>
        <w:jc w:val="both"/>
      </w:pPr>
      <w:r>
        <w:rPr>
          <w:rStyle w:val="Refdenotaalpie"/>
        </w:rPr>
        <w:footnoteRef/>
      </w:r>
      <w:r>
        <w:t xml:space="preserve"> </w:t>
      </w:r>
      <w:r>
        <w:rPr>
          <w:i/>
          <w:iCs/>
        </w:rPr>
        <w:t>Cfr.</w:t>
      </w:r>
      <w:r>
        <w:rPr>
          <w:i/>
          <w:iCs/>
        </w:rPr>
        <w:t>,</w:t>
      </w:r>
      <w:r>
        <w:rPr>
          <w:i/>
          <w:iCs/>
        </w:rPr>
        <w:t xml:space="preserve"> </w:t>
      </w:r>
      <w:r>
        <w:t>Co</w:t>
      </w:r>
      <w:r>
        <w:t>r</w:t>
      </w:r>
      <w:r>
        <w:t xml:space="preserve">te Constitucional, </w:t>
      </w:r>
      <w:r>
        <w:t xml:space="preserve">Sentencia T-562 de 2019. </w:t>
      </w:r>
    </w:p>
  </w:footnote>
  <w:footnote w:id="81">
    <w:p w:rsidR="00297A56" w:rsidRDefault="00030313" w:rsidP="00084F36">
      <w:pPr>
        <w:pStyle w:val="Textonotapie"/>
        <w:jc w:val="both"/>
      </w:pPr>
      <w:r>
        <w:rPr>
          <w:rStyle w:val="Refdenotaalpie"/>
        </w:rPr>
        <w:footnoteRef/>
      </w:r>
      <w:r>
        <w:t xml:space="preserve"> </w:t>
      </w:r>
      <w:r>
        <w:t xml:space="preserve">Corte Constitucional, Sentencia T-562 de 2019. </w:t>
      </w:r>
    </w:p>
  </w:footnote>
  <w:footnote w:id="82">
    <w:p w:rsidR="00692CE2" w:rsidRDefault="00030313" w:rsidP="00084F36">
      <w:pPr>
        <w:pStyle w:val="Textonotapie"/>
        <w:jc w:val="both"/>
      </w:pPr>
      <w:r>
        <w:rPr>
          <w:rStyle w:val="Refdenotaalpie"/>
        </w:rPr>
        <w:footnoteRef/>
      </w:r>
      <w:r>
        <w:t xml:space="preserve"> Corte Constitucional, Sentencia C-109 de 1995. Retomado p</w:t>
      </w:r>
      <w:r>
        <w:t xml:space="preserve">or la Sentencia T-283 de 2023. </w:t>
      </w:r>
    </w:p>
  </w:footnote>
  <w:footnote w:id="83">
    <w:p w:rsidR="004B57F1" w:rsidRDefault="00030313" w:rsidP="00084F36">
      <w:pPr>
        <w:pStyle w:val="Textonotapie"/>
        <w:jc w:val="both"/>
      </w:pPr>
      <w:r>
        <w:rPr>
          <w:rStyle w:val="Refdenotaalpie"/>
        </w:rPr>
        <w:footnoteRef/>
      </w:r>
      <w:r>
        <w:t xml:space="preserve"> Corte Constitucional, Sentencia T-375 de 2021. </w:t>
      </w:r>
    </w:p>
  </w:footnote>
  <w:footnote w:id="84">
    <w:p w:rsidR="0044501B" w:rsidRPr="0044501B" w:rsidRDefault="00030313" w:rsidP="00084F36">
      <w:pPr>
        <w:pStyle w:val="Textonotapie"/>
        <w:jc w:val="both"/>
      </w:pPr>
      <w:r>
        <w:rPr>
          <w:rStyle w:val="Refdenotaalpie"/>
        </w:rPr>
        <w:footnoteRef/>
      </w:r>
      <w:r>
        <w:t xml:space="preserve"> </w:t>
      </w:r>
      <w:r>
        <w:rPr>
          <w:i/>
          <w:iCs/>
        </w:rPr>
        <w:t>Cfr.</w:t>
      </w:r>
      <w:r>
        <w:rPr>
          <w:i/>
          <w:iCs/>
        </w:rPr>
        <w:t>,</w:t>
      </w:r>
      <w:r>
        <w:rPr>
          <w:i/>
          <w:iCs/>
        </w:rPr>
        <w:t xml:space="preserve"> </w:t>
      </w:r>
      <w:r>
        <w:t>Corte Constitucional, Sentencia</w:t>
      </w:r>
      <w:r>
        <w:t>s</w:t>
      </w:r>
      <w:r>
        <w:t xml:space="preserve"> C-</w:t>
      </w:r>
      <w:r>
        <w:t xml:space="preserve">511 de 1999 y T-375 de 2021. </w:t>
      </w:r>
    </w:p>
  </w:footnote>
  <w:footnote w:id="85">
    <w:p w:rsidR="002F70F5" w:rsidRPr="002F70F5" w:rsidRDefault="00030313" w:rsidP="00084F36">
      <w:pPr>
        <w:pStyle w:val="Textonotapie"/>
        <w:jc w:val="both"/>
      </w:pPr>
      <w:r>
        <w:rPr>
          <w:rStyle w:val="Refdenotaalpie"/>
        </w:rPr>
        <w:footnoteRef/>
      </w:r>
      <w:r>
        <w:t xml:space="preserve"> </w:t>
      </w:r>
      <w:r>
        <w:rPr>
          <w:i/>
          <w:iCs/>
        </w:rPr>
        <w:t>Cfr.</w:t>
      </w:r>
      <w:r>
        <w:rPr>
          <w:i/>
          <w:iCs/>
        </w:rPr>
        <w:t>,</w:t>
      </w:r>
      <w:r>
        <w:rPr>
          <w:i/>
          <w:iCs/>
        </w:rPr>
        <w:t xml:space="preserve"> </w:t>
      </w:r>
      <w:r>
        <w:t xml:space="preserve">Corte Constitucional, Sentencia T-375 de 2021. </w:t>
      </w:r>
    </w:p>
  </w:footnote>
  <w:footnote w:id="86">
    <w:p w:rsidR="00AC6A05" w:rsidRPr="00F000AE" w:rsidRDefault="00030313" w:rsidP="00F000AE">
      <w:pPr>
        <w:pStyle w:val="Textonotapie"/>
        <w:jc w:val="both"/>
      </w:pPr>
      <w:r w:rsidRPr="00F000AE">
        <w:rPr>
          <w:rStyle w:val="Refdenotaalpie"/>
        </w:rPr>
        <w:footnoteRef/>
      </w:r>
      <w:r w:rsidRPr="00F000AE">
        <w:t xml:space="preserve"> </w:t>
      </w:r>
      <w:r w:rsidRPr="00F000AE">
        <w:t xml:space="preserve">Léase la información de carácter público presentada por la Registraduría Nacional del Estado Civil, disponible en: </w:t>
      </w:r>
      <w:hyperlink r:id="rId12" w:history="1">
        <w:r w:rsidRPr="00F000AE">
          <w:rPr>
            <w:rStyle w:val="Hipervnculo"/>
            <w:color w:val="auto"/>
          </w:rPr>
          <w:t>https://wapp.registraduria.gov.co/identificacion/cedula-digi</w:t>
        </w:r>
        <w:r w:rsidRPr="00F000AE">
          <w:rPr>
            <w:rStyle w:val="Hipervnculo"/>
            <w:color w:val="auto"/>
          </w:rPr>
          <w:t>tal/#</w:t>
        </w:r>
      </w:hyperlink>
      <w:r w:rsidRPr="00F000AE">
        <w:t xml:space="preserve"> </w:t>
      </w:r>
    </w:p>
  </w:footnote>
  <w:footnote w:id="87">
    <w:p w:rsidR="002048B2" w:rsidRPr="000C056C" w:rsidRDefault="00030313" w:rsidP="00F000AE">
      <w:pPr>
        <w:pStyle w:val="Textonotapie"/>
        <w:jc w:val="both"/>
        <w:rPr>
          <w:i/>
          <w:iCs/>
        </w:rPr>
      </w:pPr>
      <w:r w:rsidRPr="00F000AE">
        <w:rPr>
          <w:rStyle w:val="Refdenotaalpie"/>
        </w:rPr>
        <w:footnoteRef/>
      </w:r>
      <w:r w:rsidRPr="00F000AE">
        <w:t xml:space="preserve"> Nuevamente, al verificar canales de información oficial de la Registraduría Nacional del Estado Civil, la entidad asegura que la principal diferencia ente la cédula amarilla de hologramas y la cédula digital, es la seguridad. </w:t>
      </w:r>
      <w:r w:rsidRPr="00F000AE">
        <w:t>Al respecto, la entid</w:t>
      </w:r>
      <w:r w:rsidRPr="00F000AE">
        <w:t>ad aseguró que “</w:t>
      </w:r>
      <w:r w:rsidRPr="00F000AE">
        <w:rPr>
          <w:i/>
          <w:iCs/>
        </w:rPr>
        <w:t>[l]a cédula amarilla cumple 22 años desde la implementación de su diseño y desarrollo; por lo tanto, sus elementos de seguridad pueden ser vulnerados y la identidad de las personas suplantada. En contraste, la cédula digital en su versión f</w:t>
      </w:r>
      <w:r w:rsidRPr="00F000AE">
        <w:rPr>
          <w:i/>
          <w:iCs/>
        </w:rPr>
        <w:t>ísica cuenta con los más altos estándares de seguridad, los cuales evitan la adulteración y posible suplantación de la identidad de la persona. Además, permite ingresar a la nueva identificación digital y acceder a trámites no presenciales</w:t>
      </w:r>
      <w:r w:rsidRPr="00F000AE">
        <w:t>.” Información di</w:t>
      </w:r>
      <w:r w:rsidRPr="00F000AE">
        <w:t xml:space="preserve">sponible en: </w:t>
      </w:r>
      <w:hyperlink r:id="rId13" w:anchor=":~:text=Actualmente%2C%20tanto%20la%20c%C3%A9dula%20digital,acceder%20a%20los%20servicios%20digitales" w:history="1">
        <w:r w:rsidRPr="00F000AE">
          <w:rPr>
            <w:rStyle w:val="Hipervnculo"/>
            <w:color w:val="auto"/>
          </w:rPr>
          <w:t>https://wapp.registraduria.gov.co/identificacion/cedula-digital/conoce-mas.html#:~:text=Actualmente%2C%20tanto%20la%20c%C3%A9dula%20digital,acceder%20a%20los%20servicios%20digitales</w:t>
        </w:r>
      </w:hyperlink>
      <w:r w:rsidRPr="00F000AE">
        <w:t xml:space="preserve">. </w:t>
      </w:r>
    </w:p>
  </w:footnote>
  <w:footnote w:id="88">
    <w:p w:rsidR="00F332A3" w:rsidRDefault="00030313" w:rsidP="00417543">
      <w:pPr>
        <w:pStyle w:val="Textonotapie"/>
        <w:jc w:val="both"/>
      </w:pPr>
      <w:r w:rsidRPr="006F248F">
        <w:rPr>
          <w:rStyle w:val="Refdenotaalpie"/>
        </w:rPr>
        <w:footnoteRef/>
      </w:r>
      <w:r w:rsidRPr="006F248F">
        <w:t xml:space="preserve"> Expediente T-10.141.790, documento digital “</w:t>
      </w:r>
      <w:hyperlink r:id="rId14" w:tgtFrame="_new" w:history="1">
        <w:r w:rsidRPr="006F248F">
          <w:rPr>
            <w:rStyle w:val="Hipervnculo"/>
            <w:color w:val="auto"/>
          </w:rPr>
          <w:t xml:space="preserve">AT </w:t>
        </w:r>
        <w:r>
          <w:rPr>
            <w:rStyle w:val="Hipervnculo"/>
            <w:i/>
            <w:iCs/>
            <w:color w:val="auto"/>
          </w:rPr>
          <w:t>Sergio</w:t>
        </w:r>
        <w:r w:rsidRPr="006F248F">
          <w:rPr>
            <w:rStyle w:val="Hipervnculo"/>
            <w:color w:val="auto"/>
          </w:rPr>
          <w:t xml:space="preserve"> 0906 2024 - Auto Corte Constitucional.pdf</w:t>
        </w:r>
      </w:hyperlink>
      <w:r w:rsidRPr="006F248F">
        <w:t xml:space="preserve">”. </w:t>
      </w:r>
      <w:r>
        <w:t xml:space="preserve">P. 6. </w:t>
      </w:r>
    </w:p>
  </w:footnote>
  <w:footnote w:id="89">
    <w:p w:rsidR="00E85095" w:rsidRDefault="00030313" w:rsidP="00807701">
      <w:pPr>
        <w:pStyle w:val="Textonotapie"/>
        <w:jc w:val="both"/>
      </w:pPr>
      <w:r>
        <w:rPr>
          <w:rStyle w:val="Refdenotaalpie"/>
        </w:rPr>
        <w:footnoteRef/>
      </w:r>
      <w:r>
        <w:t xml:space="preserve"> Ibidem. P. 7. </w:t>
      </w:r>
    </w:p>
  </w:footnote>
  <w:footnote w:id="90">
    <w:p w:rsidR="00246C62" w:rsidRDefault="00030313" w:rsidP="00807701">
      <w:pPr>
        <w:pStyle w:val="Textonotapie"/>
        <w:jc w:val="both"/>
      </w:pPr>
      <w:r>
        <w:rPr>
          <w:rStyle w:val="Refdenotaalpie"/>
        </w:rPr>
        <w:footnoteRef/>
      </w:r>
      <w:r>
        <w:t xml:space="preserve"> Corte Constitucional, Sentencia C-539 de 2011. </w:t>
      </w:r>
    </w:p>
  </w:footnote>
  <w:footnote w:id="91">
    <w:p w:rsidR="00747362" w:rsidRPr="001A1FE1" w:rsidRDefault="00030313" w:rsidP="001A1FE1">
      <w:pPr>
        <w:pStyle w:val="Textonotapie"/>
        <w:jc w:val="both"/>
        <w:rPr>
          <w:i/>
          <w:iCs/>
        </w:rPr>
      </w:pPr>
      <w:r>
        <w:rPr>
          <w:rStyle w:val="Refdenotaalpie"/>
        </w:rPr>
        <w:footnoteRef/>
      </w:r>
      <w:r>
        <w:t xml:space="preserve"> Conforme lo dispuesto en el numeral 11 del artículo </w:t>
      </w:r>
      <w:r>
        <w:t>26 del Decreto Ley 2241 de 1996, el Re</w:t>
      </w:r>
      <w:r>
        <w:t xml:space="preserve">gistrador Nacional del Estado Civil </w:t>
      </w:r>
      <w:r>
        <w:t xml:space="preserve">tiene la función de </w:t>
      </w:r>
      <w:r w:rsidRPr="001A1FE1">
        <w:rPr>
          <w:i/>
          <w:iCs/>
        </w:rPr>
        <w:t>“[d]ictar las medidas relativas a la preparación, tramitación, expedición de duplicados, rectificación, altas, bajas y cancelaciones de cédulas y tarjetas de identidad</w:t>
      </w:r>
      <w:r w:rsidRPr="00326A38">
        <w:t>.</w:t>
      </w:r>
      <w:r>
        <w:t>”</w:t>
      </w:r>
    </w:p>
  </w:footnote>
  <w:footnote w:id="92">
    <w:p w:rsidR="0069001E" w:rsidRDefault="00030313">
      <w:pPr>
        <w:pStyle w:val="Textonotapie"/>
      </w:pPr>
      <w:r>
        <w:rPr>
          <w:rStyle w:val="Refdenotaalpie"/>
        </w:rPr>
        <w:footnoteRef/>
      </w:r>
      <w:r>
        <w:t xml:space="preserve"> Léa</w:t>
      </w:r>
      <w:r>
        <w:t>n</w:t>
      </w:r>
      <w:r>
        <w:t>se</w:t>
      </w:r>
      <w:r>
        <w:t xml:space="preserve"> la Sentencia SU-440 de 202</w:t>
      </w:r>
      <w:r>
        <w:t xml:space="preserve">1 </w:t>
      </w:r>
      <w:r>
        <w:t>y</w:t>
      </w:r>
      <w:r>
        <w:t xml:space="preserve"> la Sentencia T-033 de 2022. </w:t>
      </w:r>
    </w:p>
  </w:footnote>
  <w:footnote w:id="93">
    <w:p w:rsidR="00E134B7" w:rsidRPr="001A1FE1" w:rsidRDefault="00030313" w:rsidP="001A1FE1">
      <w:pPr>
        <w:pStyle w:val="Textonotapie"/>
        <w:jc w:val="both"/>
        <w:rPr>
          <w:i/>
          <w:iCs/>
        </w:rPr>
      </w:pPr>
      <w:r w:rsidRPr="00C61937">
        <w:rPr>
          <w:rStyle w:val="Refdenotaalpie"/>
        </w:rPr>
        <w:footnoteRef/>
      </w:r>
      <w:r w:rsidRPr="00C61937">
        <w:t xml:space="preserve"> Al respecto, el Auto 294 de 2016 determinó que “</w:t>
      </w:r>
      <w:r w:rsidRPr="00C61937">
        <w:rPr>
          <w:i/>
          <w:iCs/>
        </w:rPr>
        <w:t xml:space="preserve">[l]as Salas de Revisión de la Corte Constitucional </w:t>
      </w:r>
      <w:r w:rsidRPr="00C61937">
        <w:rPr>
          <w:i/>
          <w:iCs/>
        </w:rPr>
        <w:t>y los jueces de tutela pueden disponer qué entidades públicas no demandadas o vinculadas al pro</w:t>
      </w:r>
      <w:r w:rsidRPr="00C61937">
        <w:rPr>
          <w:i/>
          <w:iCs/>
        </w:rPr>
        <w:t xml:space="preserve">ceso de tutela adelanten actuaciones </w:t>
      </w:r>
      <w:r w:rsidRPr="00C61937">
        <w:rPr>
          <w:i/>
          <w:iCs/>
        </w:rPr>
        <w:t>‘</w:t>
      </w:r>
      <w:r w:rsidRPr="00C61937">
        <w:rPr>
          <w:i/>
          <w:iCs/>
        </w:rPr>
        <w:t>en coordinació</w:t>
      </w:r>
      <w:r>
        <w:rPr>
          <w:i/>
          <w:iCs/>
        </w:rPr>
        <w:t>n</w:t>
      </w:r>
      <w:r w:rsidRPr="00C61937">
        <w:rPr>
          <w:i/>
          <w:iCs/>
        </w:rPr>
        <w:t>’</w:t>
      </w:r>
      <w:r w:rsidRPr="00C61937">
        <w:rPr>
          <w:i/>
          <w:iCs/>
        </w:rPr>
        <w:t xml:space="preserve"> con entidades o autoridades sí integradas al proceso, o con organismos oficiales a cargo de la satisfacción de un derecho fundamental. (…) Las Salas de Revisión de la Corte Constitucional y los jueces </w:t>
      </w:r>
      <w:r w:rsidRPr="00C61937">
        <w:rPr>
          <w:i/>
          <w:iCs/>
        </w:rPr>
        <w:t>de tutela no están imposibilitadas para impartir órdenes a autoridades públicas no vinculadas a un proceso, cuando sin comprometer su responsabilidad en la amenaza o violación de derechos fundamentales, se limita en la resolución del fallo a declarar las o</w:t>
      </w:r>
      <w:r w:rsidRPr="00C61937">
        <w:rPr>
          <w:i/>
          <w:iCs/>
        </w:rPr>
        <w:t>bligaciones ya previstas en el ordenamiento legal o reglamentario.”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A5E8F"/>
    <w:multiLevelType w:val="hybridMultilevel"/>
    <w:tmpl w:val="DE42318C"/>
    <w:lvl w:ilvl="0" w:tplc="2828FA9C">
      <w:start w:val="1"/>
      <w:numFmt w:val="upperRoman"/>
      <w:pStyle w:val="Estilo1"/>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CF402AD"/>
    <w:multiLevelType w:val="multilevel"/>
    <w:tmpl w:val="CDEEA3C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F922BA"/>
    <w:multiLevelType w:val="multilevel"/>
    <w:tmpl w:val="B9BCEBB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2E953D6"/>
    <w:multiLevelType w:val="hybridMultilevel"/>
    <w:tmpl w:val="A114FF20"/>
    <w:lvl w:ilvl="0" w:tplc="15363F88">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EBC6315"/>
    <w:multiLevelType w:val="multilevel"/>
    <w:tmpl w:val="A4BEA120"/>
    <w:lvl w:ilvl="0">
      <w:start w:val="1"/>
      <w:numFmt w:val="decimal"/>
      <w:lvlText w:val="%1."/>
      <w:lvlJc w:val="left"/>
      <w:pPr>
        <w:ind w:left="360" w:hanging="360"/>
      </w:pPr>
      <w:rPr>
        <w:rFonts w:hint="default"/>
        <w:b/>
        <w:bCs/>
        <w:i w:val="0"/>
        <w:sz w:val="28"/>
        <w:szCs w:val="28"/>
      </w:rPr>
    </w:lvl>
    <w:lvl w:ilvl="1">
      <w:start w:val="1"/>
      <w:numFmt w:val="decimal"/>
      <w:isLgl/>
      <w:lvlText w:val="%1.%2"/>
      <w:lvlJc w:val="left"/>
      <w:pPr>
        <w:ind w:left="742" w:hanging="600"/>
      </w:pPr>
      <w:rPr>
        <w:rFonts w:hint="default"/>
        <w:i w:val="0"/>
        <w:sz w:val="24"/>
        <w:szCs w:val="24"/>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5" w15:restartNumberingAfterBreak="0">
    <w:nsid w:val="3F654C1C"/>
    <w:multiLevelType w:val="multilevel"/>
    <w:tmpl w:val="01A42A9A"/>
    <w:lvl w:ilvl="0">
      <w:start w:val="2"/>
      <w:numFmt w:val="decimal"/>
      <w:lvlText w:val="%1."/>
      <w:lvlJc w:val="left"/>
      <w:pPr>
        <w:ind w:left="420" w:hanging="42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CD51AED"/>
    <w:multiLevelType w:val="hybridMultilevel"/>
    <w:tmpl w:val="B3DA2B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8862F44"/>
    <w:multiLevelType w:val="multilevel"/>
    <w:tmpl w:val="EC7840A0"/>
    <w:lvl w:ilvl="0">
      <w:start w:val="2"/>
      <w:numFmt w:val="decimal"/>
      <w:lvlText w:val="%1."/>
      <w:lvlJc w:val="left"/>
      <w:pPr>
        <w:ind w:left="420" w:hanging="4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A0F1BB3"/>
    <w:multiLevelType w:val="hybridMultilevel"/>
    <w:tmpl w:val="8F067056"/>
    <w:lvl w:ilvl="0" w:tplc="B3426D6C">
      <w:start w:val="1"/>
      <w:numFmt w:val="upperRoman"/>
      <w:pStyle w:val="Ttulo1"/>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3C64528"/>
    <w:multiLevelType w:val="multilevel"/>
    <w:tmpl w:val="91D40366"/>
    <w:lvl w:ilvl="0">
      <w:start w:val="2"/>
      <w:numFmt w:val="decimal"/>
      <w:lvlText w:val="%1"/>
      <w:lvlJc w:val="left"/>
      <w:pPr>
        <w:ind w:left="360" w:hanging="360"/>
      </w:pPr>
      <w:rPr>
        <w:rFonts w:hint="default"/>
        <w:i w:val="0"/>
      </w:rPr>
    </w:lvl>
    <w:lvl w:ilvl="1">
      <w:start w:val="7"/>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0" w15:restartNumberingAfterBreak="0">
    <w:nsid w:val="74F4062C"/>
    <w:multiLevelType w:val="hybridMultilevel"/>
    <w:tmpl w:val="8626F72C"/>
    <w:lvl w:ilvl="0" w:tplc="03DC8506">
      <w:start w:val="1"/>
      <w:numFmt w:val="decimal"/>
      <w:pStyle w:val="Esti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10"/>
  </w:num>
  <w:num w:numId="5">
    <w:abstractNumId w:val="2"/>
  </w:num>
  <w:num w:numId="6">
    <w:abstractNumId w:val="4"/>
  </w:num>
  <w:num w:numId="7">
    <w:abstractNumId w:val="6"/>
  </w:num>
  <w:num w:numId="8">
    <w:abstractNumId w:val="1"/>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CC8"/>
    <w:rsid w:val="00030313"/>
    <w:rsid w:val="00771CC8"/>
    <w:rsid w:val="00BA75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348FC3E6-B4A9-45B2-B7E4-870B9478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Ttulo1">
    <w:name w:val="heading 1"/>
    <w:basedOn w:val="Normal"/>
    <w:next w:val="Normal"/>
    <w:link w:val="Ttulo1Car"/>
    <w:uiPriority w:val="9"/>
    <w:qFormat/>
    <w:rsid w:val="00582FDA"/>
    <w:pPr>
      <w:keepNext/>
      <w:keepLines/>
      <w:numPr>
        <w:numId w:val="1"/>
      </w:numPr>
      <w:spacing w:before="240"/>
      <w:ind w:left="360"/>
      <w:jc w:val="both"/>
      <w:outlineLvl w:val="0"/>
    </w:pPr>
    <w:rPr>
      <w:b/>
      <w:szCs w:val="40"/>
    </w:rPr>
  </w:style>
  <w:style w:type="paragraph" w:styleId="Ttulo2">
    <w:name w:val="heading 2"/>
    <w:basedOn w:val="Normal"/>
    <w:next w:val="Normal"/>
    <w:link w:val="Ttulo2Car"/>
    <w:uiPriority w:val="9"/>
    <w:unhideWhenUsed/>
    <w:qFormat/>
    <w:rsid w:val="00582FDA"/>
    <w:pPr>
      <w:keepNext/>
      <w:keepLines/>
      <w:numPr>
        <w:numId w:val="2"/>
      </w:numPr>
      <w:spacing w:before="40"/>
      <w:ind w:left="360"/>
      <w:outlineLvl w:val="1"/>
    </w:pPr>
    <w:rPr>
      <w:b/>
      <w:szCs w:val="32"/>
    </w:rPr>
  </w:style>
  <w:style w:type="paragraph" w:styleId="Ttulo3">
    <w:name w:val="heading 3"/>
    <w:basedOn w:val="Normal"/>
    <w:next w:val="Normal"/>
    <w:link w:val="Ttulo3Car"/>
    <w:uiPriority w:val="9"/>
    <w:semiHidden/>
    <w:unhideWhenUsed/>
    <w:qFormat/>
    <w:rsid w:val="00C36B4C"/>
    <w:pPr>
      <w:keepNext/>
      <w:keepLines/>
      <w:spacing w:before="160" w:after="80"/>
      <w:outlineLvl w:val="2"/>
    </w:pPr>
    <w:rPr>
      <w:color w:val="2E74B5"/>
    </w:rPr>
  </w:style>
  <w:style w:type="paragraph" w:styleId="Ttulo4">
    <w:name w:val="heading 4"/>
    <w:basedOn w:val="Normal"/>
    <w:next w:val="Normal"/>
    <w:link w:val="Ttulo4Car"/>
    <w:uiPriority w:val="9"/>
    <w:semiHidden/>
    <w:unhideWhenUsed/>
    <w:qFormat/>
    <w:rsid w:val="00C36B4C"/>
    <w:pPr>
      <w:keepNext/>
      <w:keepLines/>
      <w:spacing w:before="80" w:after="40"/>
      <w:outlineLvl w:val="3"/>
    </w:pPr>
    <w:rPr>
      <w:i/>
      <w:iCs/>
      <w:color w:val="2E74B5"/>
    </w:rPr>
  </w:style>
  <w:style w:type="paragraph" w:styleId="Ttulo5">
    <w:name w:val="heading 5"/>
    <w:basedOn w:val="Normal"/>
    <w:next w:val="Normal"/>
    <w:link w:val="Ttulo5Car"/>
    <w:uiPriority w:val="9"/>
    <w:semiHidden/>
    <w:unhideWhenUsed/>
    <w:qFormat/>
    <w:rsid w:val="00C36B4C"/>
    <w:pPr>
      <w:keepNext/>
      <w:keepLines/>
      <w:spacing w:before="80" w:after="40"/>
      <w:outlineLvl w:val="4"/>
    </w:pPr>
    <w:rPr>
      <w:color w:val="2E74B5"/>
    </w:rPr>
  </w:style>
  <w:style w:type="paragraph" w:styleId="Ttulo6">
    <w:name w:val="heading 6"/>
    <w:basedOn w:val="Normal"/>
    <w:next w:val="Normal"/>
    <w:link w:val="Ttulo6Car"/>
    <w:uiPriority w:val="9"/>
    <w:semiHidden/>
    <w:unhideWhenUsed/>
    <w:qFormat/>
    <w:rsid w:val="00C36B4C"/>
    <w:pPr>
      <w:keepNext/>
      <w:keepLines/>
      <w:spacing w:before="40"/>
      <w:outlineLvl w:val="5"/>
    </w:pPr>
    <w:rPr>
      <w:i/>
      <w:iCs/>
      <w:color w:val="595959"/>
    </w:rPr>
  </w:style>
  <w:style w:type="paragraph" w:styleId="Ttulo7">
    <w:name w:val="heading 7"/>
    <w:basedOn w:val="Normal"/>
    <w:next w:val="Normal"/>
    <w:link w:val="Ttulo7Car"/>
    <w:uiPriority w:val="9"/>
    <w:semiHidden/>
    <w:unhideWhenUsed/>
    <w:qFormat/>
    <w:rsid w:val="00C36B4C"/>
    <w:pPr>
      <w:keepNext/>
      <w:keepLines/>
      <w:spacing w:before="40"/>
      <w:outlineLvl w:val="6"/>
    </w:pPr>
    <w:rPr>
      <w:color w:val="595959"/>
    </w:rPr>
  </w:style>
  <w:style w:type="paragraph" w:styleId="Ttulo8">
    <w:name w:val="heading 8"/>
    <w:basedOn w:val="Normal"/>
    <w:next w:val="Normal"/>
    <w:link w:val="Ttulo8Car"/>
    <w:uiPriority w:val="9"/>
    <w:semiHidden/>
    <w:unhideWhenUsed/>
    <w:qFormat/>
    <w:rsid w:val="00C36B4C"/>
    <w:pPr>
      <w:keepNext/>
      <w:keepLines/>
      <w:outlineLvl w:val="7"/>
    </w:pPr>
    <w:rPr>
      <w:i/>
      <w:iCs/>
      <w:color w:val="272727"/>
    </w:rPr>
  </w:style>
  <w:style w:type="paragraph" w:styleId="Ttulo9">
    <w:name w:val="heading 9"/>
    <w:basedOn w:val="Normal"/>
    <w:next w:val="Normal"/>
    <w:link w:val="Ttulo9Car"/>
    <w:uiPriority w:val="9"/>
    <w:semiHidden/>
    <w:unhideWhenUsed/>
    <w:qFormat/>
    <w:rsid w:val="00C36B4C"/>
    <w:pPr>
      <w:keepNext/>
      <w:keepLines/>
      <w:outlineLvl w:val="8"/>
    </w:pPr>
    <w:rPr>
      <w:color w:val="2727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582FDA"/>
    <w:rPr>
      <w:rFonts w:ascii="Times New Roman" w:eastAsia="Times New Roman" w:hAnsi="Times New Roman" w:cs="Times New Roman"/>
      <w:b/>
      <w:kern w:val="0"/>
      <w:sz w:val="28"/>
      <w:szCs w:val="40"/>
    </w:rPr>
  </w:style>
  <w:style w:type="character" w:customStyle="1" w:styleId="Ttulo2Car">
    <w:name w:val="Título 2 Car"/>
    <w:link w:val="Ttulo2"/>
    <w:uiPriority w:val="9"/>
    <w:rsid w:val="00582FDA"/>
    <w:rPr>
      <w:rFonts w:ascii="Times New Roman" w:eastAsia="Times New Roman" w:hAnsi="Times New Roman" w:cs="Times New Roman"/>
      <w:b/>
      <w:kern w:val="0"/>
      <w:sz w:val="28"/>
      <w:szCs w:val="32"/>
    </w:rPr>
  </w:style>
  <w:style w:type="character" w:customStyle="1" w:styleId="Ttulo3Car">
    <w:name w:val="Título 3 Car"/>
    <w:link w:val="Ttulo3"/>
    <w:uiPriority w:val="9"/>
    <w:semiHidden/>
    <w:rsid w:val="00C36B4C"/>
    <w:rPr>
      <w:rFonts w:eastAsia="Times New Roman" w:cs="Times New Roman"/>
      <w:color w:val="2E74B5"/>
      <w:sz w:val="28"/>
      <w:szCs w:val="28"/>
    </w:rPr>
  </w:style>
  <w:style w:type="character" w:customStyle="1" w:styleId="Ttulo4Car">
    <w:name w:val="Título 4 Car"/>
    <w:link w:val="Ttulo4"/>
    <w:uiPriority w:val="9"/>
    <w:semiHidden/>
    <w:rsid w:val="00C36B4C"/>
    <w:rPr>
      <w:rFonts w:eastAsia="Times New Roman" w:cs="Times New Roman"/>
      <w:i/>
      <w:iCs/>
      <w:color w:val="2E74B5"/>
    </w:rPr>
  </w:style>
  <w:style w:type="character" w:customStyle="1" w:styleId="Ttulo5Car">
    <w:name w:val="Título 5 Car"/>
    <w:link w:val="Ttulo5"/>
    <w:uiPriority w:val="9"/>
    <w:semiHidden/>
    <w:rsid w:val="00C36B4C"/>
    <w:rPr>
      <w:rFonts w:eastAsia="Times New Roman" w:cs="Times New Roman"/>
      <w:color w:val="2E74B5"/>
    </w:rPr>
  </w:style>
  <w:style w:type="character" w:customStyle="1" w:styleId="Ttulo6Car">
    <w:name w:val="Título 6 Car"/>
    <w:link w:val="Ttulo6"/>
    <w:uiPriority w:val="9"/>
    <w:semiHidden/>
    <w:rsid w:val="00C36B4C"/>
    <w:rPr>
      <w:rFonts w:eastAsia="Times New Roman" w:cs="Times New Roman"/>
      <w:i/>
      <w:iCs/>
      <w:color w:val="595959"/>
    </w:rPr>
  </w:style>
  <w:style w:type="character" w:customStyle="1" w:styleId="Ttulo7Car">
    <w:name w:val="Título 7 Car"/>
    <w:link w:val="Ttulo7"/>
    <w:uiPriority w:val="9"/>
    <w:semiHidden/>
    <w:rsid w:val="00C36B4C"/>
    <w:rPr>
      <w:rFonts w:eastAsia="Times New Roman" w:cs="Times New Roman"/>
      <w:color w:val="595959"/>
    </w:rPr>
  </w:style>
  <w:style w:type="character" w:customStyle="1" w:styleId="Ttulo8Car">
    <w:name w:val="Título 8 Car"/>
    <w:link w:val="Ttulo8"/>
    <w:uiPriority w:val="9"/>
    <w:semiHidden/>
    <w:rsid w:val="00C36B4C"/>
    <w:rPr>
      <w:rFonts w:eastAsia="Times New Roman" w:cs="Times New Roman"/>
      <w:i/>
      <w:iCs/>
      <w:color w:val="272727"/>
    </w:rPr>
  </w:style>
  <w:style w:type="character" w:customStyle="1" w:styleId="Ttulo9Car">
    <w:name w:val="Título 9 Car"/>
    <w:link w:val="Ttulo9"/>
    <w:uiPriority w:val="9"/>
    <w:semiHidden/>
    <w:rsid w:val="00C36B4C"/>
    <w:rPr>
      <w:rFonts w:eastAsia="Times New Roman" w:cs="Times New Roman"/>
      <w:color w:val="272727"/>
    </w:rPr>
  </w:style>
  <w:style w:type="paragraph" w:styleId="Ttulo">
    <w:name w:val="Title"/>
    <w:basedOn w:val="Normal"/>
    <w:next w:val="Normal"/>
    <w:link w:val="TtuloCar"/>
    <w:uiPriority w:val="10"/>
    <w:qFormat/>
    <w:rsid w:val="00C36B4C"/>
    <w:pPr>
      <w:spacing w:after="80"/>
      <w:contextualSpacing/>
    </w:pPr>
    <w:rPr>
      <w:rFonts w:ascii="Calibri Light" w:hAnsi="Calibri Light"/>
      <w:spacing w:val="-10"/>
      <w:kern w:val="28"/>
      <w:sz w:val="56"/>
      <w:szCs w:val="56"/>
    </w:rPr>
  </w:style>
  <w:style w:type="character" w:customStyle="1" w:styleId="TtuloCar">
    <w:name w:val="Título Car"/>
    <w:link w:val="Ttulo"/>
    <w:uiPriority w:val="10"/>
    <w:rsid w:val="00C36B4C"/>
    <w:rPr>
      <w:rFonts w:ascii="Calibri Light" w:eastAsia="Times New Roman" w:hAnsi="Calibri Light" w:cs="Times New Roman"/>
      <w:spacing w:val="-10"/>
      <w:kern w:val="28"/>
      <w:sz w:val="56"/>
      <w:szCs w:val="56"/>
    </w:rPr>
  </w:style>
  <w:style w:type="paragraph" w:styleId="Subttulo">
    <w:name w:val="Subtitle"/>
    <w:basedOn w:val="Normal"/>
    <w:next w:val="Normal"/>
    <w:link w:val="SubttuloCar"/>
    <w:uiPriority w:val="11"/>
    <w:qFormat/>
    <w:rsid w:val="00C36B4C"/>
    <w:pPr>
      <w:numPr>
        <w:ilvl w:val="1"/>
      </w:numPr>
    </w:pPr>
    <w:rPr>
      <w:color w:val="595959"/>
      <w:spacing w:val="15"/>
    </w:rPr>
  </w:style>
  <w:style w:type="character" w:customStyle="1" w:styleId="SubttuloCar">
    <w:name w:val="Subtítulo Car"/>
    <w:link w:val="Subttulo"/>
    <w:uiPriority w:val="11"/>
    <w:rsid w:val="00C36B4C"/>
    <w:rPr>
      <w:rFonts w:eastAsia="Times New Roman" w:cs="Times New Roman"/>
      <w:color w:val="595959"/>
      <w:spacing w:val="15"/>
      <w:sz w:val="28"/>
      <w:szCs w:val="28"/>
    </w:rPr>
  </w:style>
  <w:style w:type="paragraph" w:styleId="Cita">
    <w:name w:val="Quote"/>
    <w:basedOn w:val="Normal"/>
    <w:next w:val="Normal"/>
    <w:link w:val="CitaCar"/>
    <w:uiPriority w:val="29"/>
    <w:qFormat/>
    <w:rsid w:val="00C36B4C"/>
    <w:pPr>
      <w:spacing w:before="160"/>
      <w:jc w:val="center"/>
    </w:pPr>
    <w:rPr>
      <w:i/>
      <w:iCs/>
      <w:color w:val="404040"/>
    </w:rPr>
  </w:style>
  <w:style w:type="character" w:customStyle="1" w:styleId="CitaCar">
    <w:name w:val="Cita Car"/>
    <w:link w:val="Cita"/>
    <w:uiPriority w:val="29"/>
    <w:rsid w:val="00C36B4C"/>
    <w:rPr>
      <w:i/>
      <w:iCs/>
      <w:color w:val="404040"/>
    </w:rPr>
  </w:style>
  <w:style w:type="paragraph" w:styleId="Prrafodelista">
    <w:name w:val="List Paragraph"/>
    <w:aliases w:val="Colorful List - Accent 11,Ha,List Paragraph1,lp1,Normal1,List1,titulo 3,Párrafo de lista1,Bullets,Párrafo de lista2,Lista vistosa - Énfasis 11,Cuadrícula clara - Énfasis 31,Dot pt,F5 List Paragraph,No Spacing1,List Paragraph2"/>
    <w:basedOn w:val="Normal"/>
    <w:link w:val="PrrafodelistaCar"/>
    <w:uiPriority w:val="34"/>
    <w:qFormat/>
    <w:rsid w:val="00C36B4C"/>
    <w:pPr>
      <w:ind w:left="720"/>
      <w:contextualSpacing/>
    </w:pPr>
  </w:style>
  <w:style w:type="character" w:styleId="nfasisintenso">
    <w:name w:val="Intense Emphasis"/>
    <w:uiPriority w:val="21"/>
    <w:qFormat/>
    <w:rsid w:val="00C36B4C"/>
    <w:rPr>
      <w:i/>
      <w:iCs/>
      <w:color w:val="2E74B5"/>
    </w:rPr>
  </w:style>
  <w:style w:type="paragraph" w:styleId="Citadestacada">
    <w:name w:val="Intense Quote"/>
    <w:basedOn w:val="Normal"/>
    <w:next w:val="Normal"/>
    <w:link w:val="CitadestacadaCar"/>
    <w:uiPriority w:val="30"/>
    <w:qFormat/>
    <w:rsid w:val="00C36B4C"/>
    <w:pPr>
      <w:pBdr>
        <w:top w:val="single" w:sz="4" w:space="10" w:color="2E74B5"/>
        <w:bottom w:val="single" w:sz="4" w:space="10" w:color="2E74B5"/>
      </w:pBdr>
      <w:spacing w:before="360" w:after="360"/>
      <w:ind w:left="864" w:right="864"/>
      <w:jc w:val="center"/>
    </w:pPr>
    <w:rPr>
      <w:i/>
      <w:iCs/>
      <w:color w:val="2E74B5"/>
    </w:rPr>
  </w:style>
  <w:style w:type="character" w:customStyle="1" w:styleId="CitadestacadaCar">
    <w:name w:val="Cita destacada Car"/>
    <w:link w:val="Citadestacada"/>
    <w:uiPriority w:val="30"/>
    <w:rsid w:val="00C36B4C"/>
    <w:rPr>
      <w:i/>
      <w:iCs/>
      <w:color w:val="2E74B5"/>
    </w:rPr>
  </w:style>
  <w:style w:type="character" w:styleId="Referenciaintensa">
    <w:name w:val="Intense Reference"/>
    <w:uiPriority w:val="32"/>
    <w:qFormat/>
    <w:rsid w:val="00C36B4C"/>
    <w:rPr>
      <w:b/>
      <w:bCs/>
      <w:smallCaps/>
      <w:color w:val="2E74B5"/>
      <w:spacing w:val="5"/>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ft,C"/>
    <w:basedOn w:val="Normal"/>
    <w:link w:val="TextonotapieCar"/>
    <w:uiPriority w:val="99"/>
    <w:unhideWhenUsed/>
    <w:qFormat/>
    <w:rsid w:val="00C36B4C"/>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ar,ft Car,C Car"/>
    <w:link w:val="Textonotapie"/>
    <w:uiPriority w:val="99"/>
    <w:qFormat/>
    <w:rsid w:val="00C36B4C"/>
    <w:rPr>
      <w:rFonts w:ascii="Times New Roman" w:hAnsi="Times New Roman" w:cs="Times New Roman"/>
      <w:color w:val="000000"/>
      <w:kern w:val="0"/>
      <w:sz w:val="20"/>
      <w:szCs w:val="20"/>
    </w:rPr>
  </w:style>
  <w:style w:type="character" w:styleId="Refdenotaalpie">
    <w:name w:val="footnote reference"/>
    <w:aliases w:val="Texto de nota al pie,referencia nota al pie,Footnotes refss,Appel note de bas de page,Fago Fußnotenzeichen,Footnote number,BVI fnr,f,4_G,16 Point,Superscript 6 Point,Texto nota al pie,Ref. de nota al pie 2,Footnote symbol,Footnote,F"/>
    <w:link w:val="Piedepagina"/>
    <w:uiPriority w:val="99"/>
    <w:unhideWhenUsed/>
    <w:qFormat/>
    <w:rsid w:val="00C36B4C"/>
    <w:rPr>
      <w:vertAlign w:val="superscript"/>
    </w:rPr>
  </w:style>
  <w:style w:type="paragraph" w:customStyle="1" w:styleId="Piedepagina">
    <w:name w:val="Pie de pagina"/>
    <w:basedOn w:val="Normal"/>
    <w:link w:val="Refdenotaalpie"/>
    <w:uiPriority w:val="99"/>
    <w:rsid w:val="00C36B4C"/>
    <w:pPr>
      <w:spacing w:line="240" w:lineRule="exact"/>
    </w:pPr>
    <w:rPr>
      <w:kern w:val="2"/>
      <w:vertAlign w:val="superscript"/>
    </w:rPr>
  </w:style>
  <w:style w:type="paragraph" w:styleId="Textoindependiente2">
    <w:name w:val="Body Text 2"/>
    <w:basedOn w:val="Normal"/>
    <w:link w:val="Textoindependiente2Car"/>
    <w:uiPriority w:val="99"/>
    <w:semiHidden/>
    <w:unhideWhenUsed/>
    <w:rsid w:val="00C36B4C"/>
    <w:pPr>
      <w:spacing w:after="120" w:line="480" w:lineRule="auto"/>
    </w:pPr>
  </w:style>
  <w:style w:type="character" w:customStyle="1" w:styleId="Textoindependiente2Car">
    <w:name w:val="Texto independiente 2 Car"/>
    <w:link w:val="Textoindependiente2"/>
    <w:uiPriority w:val="99"/>
    <w:semiHidden/>
    <w:rsid w:val="00C36B4C"/>
    <w:rPr>
      <w:rFonts w:ascii="Times New Roman" w:hAnsi="Times New Roman" w:cs="Times New Roman"/>
      <w:color w:val="000000"/>
      <w:kern w:val="0"/>
      <w:sz w:val="28"/>
      <w:szCs w:val="28"/>
    </w:rPr>
  </w:style>
  <w:style w:type="character" w:customStyle="1" w:styleId="normaltextrun">
    <w:name w:val="normaltextrun"/>
    <w:basedOn w:val="Fuentedeprrafopredeter"/>
    <w:rsid w:val="00C36B4C"/>
  </w:style>
  <w:style w:type="character" w:styleId="Textoennegrita">
    <w:name w:val="Strong"/>
    <w:uiPriority w:val="22"/>
    <w:qFormat/>
    <w:rsid w:val="00C36B4C"/>
    <w:rPr>
      <w:b/>
      <w:bCs/>
    </w:rPr>
  </w:style>
  <w:style w:type="paragraph" w:styleId="Lista">
    <w:name w:val="List"/>
    <w:basedOn w:val="Normal"/>
    <w:unhideWhenUsed/>
    <w:rsid w:val="00C36B4C"/>
    <w:pPr>
      <w:spacing w:after="200" w:line="276" w:lineRule="auto"/>
      <w:ind w:left="283" w:hanging="283"/>
      <w:contextualSpacing/>
    </w:pPr>
    <w:rPr>
      <w:szCs w:val="24"/>
    </w:rPr>
  </w:style>
  <w:style w:type="character" w:customStyle="1" w:styleId="PrrafodelistaCar">
    <w:name w:val="Párrafo de lista Car"/>
    <w:aliases w:val="Colorful List - Accent 11 Car,Ha Car,List Paragraph1 Car,lp1 Car,Normal1 Car,List1 Car,titulo 3 Car,Párrafo de lista1 Car,Bullets Car,Párrafo de lista2 Car,Lista vistosa - Énfasis 11 Car,Cuadrícula clara - Énfasis 31 Car,Dot pt Car"/>
    <w:link w:val="Prrafodelista"/>
    <w:uiPriority w:val="34"/>
    <w:locked/>
    <w:rsid w:val="00C36B4C"/>
  </w:style>
  <w:style w:type="character" w:styleId="Hipervnculo">
    <w:name w:val="Hyperlink"/>
    <w:uiPriority w:val="99"/>
    <w:unhideWhenUsed/>
    <w:rsid w:val="00C36B4C"/>
    <w:rPr>
      <w:color w:val="0563C1"/>
      <w:u w:val="single"/>
    </w:rPr>
  </w:style>
  <w:style w:type="paragraph" w:styleId="Revisin">
    <w:name w:val="Revision"/>
    <w:hidden/>
    <w:uiPriority w:val="99"/>
    <w:semiHidden/>
    <w:rsid w:val="00C36B4C"/>
    <w:rPr>
      <w:rFonts w:ascii="Times New Roman" w:hAnsi="Times New Roman"/>
      <w:color w:val="000000"/>
      <w:sz w:val="28"/>
      <w:szCs w:val="28"/>
      <w:lang w:val="es-ES"/>
    </w:rPr>
  </w:style>
  <w:style w:type="character" w:styleId="Refdecomentario">
    <w:name w:val="annotation reference"/>
    <w:uiPriority w:val="99"/>
    <w:semiHidden/>
    <w:unhideWhenUsed/>
    <w:rsid w:val="00C36B4C"/>
    <w:rPr>
      <w:sz w:val="16"/>
      <w:szCs w:val="16"/>
    </w:rPr>
  </w:style>
  <w:style w:type="paragraph" w:styleId="Textocomentario">
    <w:name w:val="annotation text"/>
    <w:basedOn w:val="Normal"/>
    <w:link w:val="TextocomentarioCar"/>
    <w:uiPriority w:val="99"/>
    <w:unhideWhenUsed/>
    <w:rsid w:val="00C36B4C"/>
    <w:rPr>
      <w:sz w:val="20"/>
      <w:szCs w:val="20"/>
    </w:rPr>
  </w:style>
  <w:style w:type="character" w:customStyle="1" w:styleId="TextocomentarioCar">
    <w:name w:val="Texto comentario Car"/>
    <w:link w:val="Textocomentario"/>
    <w:uiPriority w:val="99"/>
    <w:rsid w:val="00C36B4C"/>
    <w:rPr>
      <w:rFonts w:ascii="Times New Roman" w:hAnsi="Times New Roman" w:cs="Times New Roman"/>
      <w:color w:val="000000"/>
      <w:kern w:val="0"/>
      <w:sz w:val="20"/>
      <w:szCs w:val="20"/>
    </w:rPr>
  </w:style>
  <w:style w:type="paragraph" w:styleId="Encabezado">
    <w:name w:val="header"/>
    <w:basedOn w:val="Normal"/>
    <w:link w:val="EncabezadoCar"/>
    <w:uiPriority w:val="99"/>
    <w:unhideWhenUsed/>
    <w:rsid w:val="00C36B4C"/>
    <w:pPr>
      <w:tabs>
        <w:tab w:val="center" w:pos="4419"/>
        <w:tab w:val="right" w:pos="8838"/>
      </w:tabs>
    </w:pPr>
  </w:style>
  <w:style w:type="character" w:customStyle="1" w:styleId="EncabezadoCar">
    <w:name w:val="Encabezado Car"/>
    <w:link w:val="Encabezado"/>
    <w:uiPriority w:val="99"/>
    <w:rsid w:val="00C36B4C"/>
    <w:rPr>
      <w:rFonts w:ascii="Times New Roman" w:hAnsi="Times New Roman" w:cs="Times New Roman"/>
      <w:color w:val="000000"/>
      <w:kern w:val="0"/>
      <w:sz w:val="28"/>
      <w:szCs w:val="28"/>
    </w:rPr>
  </w:style>
  <w:style w:type="paragraph" w:styleId="Piedepgina">
    <w:name w:val="footer"/>
    <w:basedOn w:val="Normal"/>
    <w:link w:val="PiedepginaCar"/>
    <w:uiPriority w:val="99"/>
    <w:unhideWhenUsed/>
    <w:rsid w:val="00C36B4C"/>
    <w:pPr>
      <w:tabs>
        <w:tab w:val="center" w:pos="4419"/>
        <w:tab w:val="right" w:pos="8838"/>
      </w:tabs>
    </w:pPr>
  </w:style>
  <w:style w:type="character" w:customStyle="1" w:styleId="PiedepginaCar">
    <w:name w:val="Pie de página Car"/>
    <w:link w:val="Piedepgina"/>
    <w:uiPriority w:val="99"/>
    <w:rsid w:val="00C36B4C"/>
    <w:rPr>
      <w:rFonts w:ascii="Times New Roman" w:hAnsi="Times New Roman" w:cs="Times New Roman"/>
      <w:color w:val="000000"/>
      <w:kern w:val="0"/>
      <w:sz w:val="28"/>
      <w:szCs w:val="28"/>
    </w:rPr>
  </w:style>
  <w:style w:type="character" w:customStyle="1" w:styleId="Mencinsinresolver1">
    <w:name w:val="Mención sin resolver1"/>
    <w:uiPriority w:val="99"/>
    <w:semiHidden/>
    <w:unhideWhenUsed/>
    <w:rsid w:val="00C36B4C"/>
    <w:rPr>
      <w:color w:val="605E5C"/>
      <w:shd w:val="clear" w:color="auto" w:fill="E1DFDD"/>
    </w:rPr>
  </w:style>
  <w:style w:type="paragraph" w:styleId="Lista2">
    <w:name w:val="List 2"/>
    <w:basedOn w:val="Normal"/>
    <w:uiPriority w:val="99"/>
    <w:unhideWhenUsed/>
    <w:rsid w:val="00C36B4C"/>
    <w:pPr>
      <w:ind w:left="566" w:hanging="283"/>
      <w:contextualSpacing/>
    </w:pPr>
  </w:style>
  <w:style w:type="paragraph" w:styleId="NormalWeb">
    <w:name w:val="Normal (Web)"/>
    <w:basedOn w:val="Normal"/>
    <w:uiPriority w:val="99"/>
    <w:unhideWhenUsed/>
    <w:rsid w:val="00C36B4C"/>
    <w:pPr>
      <w:spacing w:before="100" w:beforeAutospacing="1" w:after="100" w:afterAutospacing="1"/>
    </w:pPr>
    <w:rPr>
      <w:sz w:val="24"/>
      <w:szCs w:val="24"/>
    </w:rPr>
  </w:style>
  <w:style w:type="paragraph" w:styleId="Asuntodelcomentario">
    <w:name w:val="annotation subject"/>
    <w:basedOn w:val="Textocomentario"/>
    <w:next w:val="Textocomentario"/>
    <w:link w:val="AsuntodelcomentarioCar"/>
    <w:uiPriority w:val="99"/>
    <w:semiHidden/>
    <w:unhideWhenUsed/>
    <w:rsid w:val="00C36B4C"/>
    <w:rPr>
      <w:b/>
      <w:bCs/>
    </w:rPr>
  </w:style>
  <w:style w:type="character" w:customStyle="1" w:styleId="AsuntodelcomentarioCar">
    <w:name w:val="Asunto del comentario Car"/>
    <w:link w:val="Asuntodelcomentario"/>
    <w:uiPriority w:val="99"/>
    <w:semiHidden/>
    <w:rsid w:val="00C36B4C"/>
    <w:rPr>
      <w:rFonts w:ascii="Times New Roman" w:hAnsi="Times New Roman" w:cs="Times New Roman"/>
      <w:b/>
      <w:bCs/>
      <w:color w:val="000000"/>
      <w:kern w:val="0"/>
      <w:sz w:val="20"/>
      <w:szCs w:val="20"/>
    </w:rPr>
  </w:style>
  <w:style w:type="character" w:styleId="Hipervnculovisitado">
    <w:name w:val="FollowedHyperlink"/>
    <w:uiPriority w:val="99"/>
    <w:semiHidden/>
    <w:unhideWhenUsed/>
    <w:rsid w:val="00C36B4C"/>
    <w:rPr>
      <w:color w:val="954F72"/>
      <w:u w:val="single"/>
    </w:rPr>
  </w:style>
  <w:style w:type="table" w:styleId="Tablaconcuadrcula">
    <w:name w:val="Table Grid"/>
    <w:basedOn w:val="Tablanormal"/>
    <w:uiPriority w:val="39"/>
    <w:rsid w:val="00C36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C36B4C"/>
  </w:style>
  <w:style w:type="paragraph" w:styleId="Descripcin">
    <w:name w:val="caption"/>
    <w:basedOn w:val="Normal"/>
    <w:next w:val="Normal"/>
    <w:uiPriority w:val="35"/>
    <w:unhideWhenUsed/>
    <w:qFormat/>
    <w:rsid w:val="00610109"/>
    <w:pPr>
      <w:spacing w:after="200"/>
    </w:pPr>
    <w:rPr>
      <w:i/>
      <w:iCs/>
      <w:color w:val="44546A"/>
      <w:sz w:val="18"/>
      <w:szCs w:val="18"/>
    </w:rPr>
  </w:style>
  <w:style w:type="paragraph" w:customStyle="1" w:styleId="Estilo1">
    <w:name w:val="Estilo1"/>
    <w:basedOn w:val="Prrafodelista"/>
    <w:link w:val="Estilo1Car"/>
    <w:qFormat/>
    <w:rsid w:val="00FB1769"/>
    <w:pPr>
      <w:numPr>
        <w:numId w:val="3"/>
      </w:numPr>
      <w:ind w:left="720" w:right="-18"/>
      <w:jc w:val="both"/>
    </w:pPr>
    <w:rPr>
      <w:b/>
      <w:iCs/>
    </w:rPr>
  </w:style>
  <w:style w:type="character" w:customStyle="1" w:styleId="Estilo1Car">
    <w:name w:val="Estilo1 Car"/>
    <w:link w:val="Estilo1"/>
    <w:rsid w:val="00FB1769"/>
    <w:rPr>
      <w:rFonts w:ascii="Times New Roman" w:hAnsi="Times New Roman" w:cs="Times New Roman"/>
      <w:b/>
      <w:iCs/>
      <w:color w:val="000000"/>
      <w:kern w:val="0"/>
      <w:sz w:val="28"/>
      <w:szCs w:val="28"/>
    </w:rPr>
  </w:style>
  <w:style w:type="paragraph" w:customStyle="1" w:styleId="Estilo2">
    <w:name w:val="Estilo2"/>
    <w:basedOn w:val="Ttulo1"/>
    <w:link w:val="Estilo2Car"/>
    <w:qFormat/>
    <w:rsid w:val="00B20CFF"/>
    <w:pPr>
      <w:numPr>
        <w:numId w:val="4"/>
      </w:numPr>
      <w:spacing w:before="0"/>
      <w:ind w:left="360"/>
    </w:pPr>
    <w:rPr>
      <w:b w:val="0"/>
      <w:bCs/>
      <w:iCs/>
      <w:szCs w:val="28"/>
    </w:rPr>
  </w:style>
  <w:style w:type="character" w:customStyle="1" w:styleId="Estilo2Car">
    <w:name w:val="Estilo2 Car"/>
    <w:link w:val="Estilo2"/>
    <w:rsid w:val="00B20CFF"/>
    <w:rPr>
      <w:rFonts w:ascii="Times New Roman" w:eastAsia="Times New Roman" w:hAnsi="Times New Roman" w:cs="Times New Roman"/>
      <w:b w:val="0"/>
      <w:bCs/>
      <w:iCs/>
      <w:kern w:val="0"/>
      <w:sz w:val="28"/>
      <w:szCs w:val="28"/>
    </w:rPr>
  </w:style>
  <w:style w:type="paragraph" w:styleId="ndice1">
    <w:name w:val="index 1"/>
    <w:basedOn w:val="Normal"/>
    <w:next w:val="Normal"/>
    <w:autoRedefine/>
    <w:uiPriority w:val="99"/>
    <w:semiHidden/>
    <w:unhideWhenUsed/>
    <w:rsid w:val="00577331"/>
    <w:pPr>
      <w:ind w:left="280" w:hanging="280"/>
    </w:pPr>
  </w:style>
  <w:style w:type="paragraph" w:styleId="TtuloTDC">
    <w:name w:val="TOC Heading"/>
    <w:basedOn w:val="Ttulo1"/>
    <w:next w:val="Normal"/>
    <w:uiPriority w:val="39"/>
    <w:unhideWhenUsed/>
    <w:qFormat/>
    <w:rsid w:val="00577331"/>
    <w:pPr>
      <w:outlineLvl w:val="9"/>
    </w:pPr>
    <w:rPr>
      <w:sz w:val="32"/>
      <w:szCs w:val="32"/>
    </w:rPr>
  </w:style>
  <w:style w:type="paragraph" w:styleId="TDC1">
    <w:name w:val="toc 1"/>
    <w:basedOn w:val="Normal"/>
    <w:next w:val="Normal"/>
    <w:autoRedefine/>
    <w:uiPriority w:val="39"/>
    <w:unhideWhenUsed/>
    <w:rsid w:val="00D66333"/>
    <w:pPr>
      <w:tabs>
        <w:tab w:val="left" w:pos="480"/>
        <w:tab w:val="right" w:leader="dot" w:pos="8830"/>
      </w:tabs>
      <w:spacing w:after="100"/>
    </w:pPr>
  </w:style>
  <w:style w:type="paragraph" w:styleId="TDC2">
    <w:name w:val="toc 2"/>
    <w:basedOn w:val="Normal"/>
    <w:next w:val="Normal"/>
    <w:autoRedefine/>
    <w:uiPriority w:val="39"/>
    <w:unhideWhenUsed/>
    <w:rsid w:val="00317990"/>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siicor.corteconstitucional.gov.co/controldeprocesos/file.php?archivo=AT%20TONNY%20ALBERTO%20GUALDRON%20PACHECO%200906%202024%20-%20Auto%20Corte%20Constitucional.pdf&amp;var=11001333501520240006100-(2024-08-05%2007-06-29)-1722859589-48.pdf&amp;anio=2024&amp;R=1&amp;expediente=11001333501520240006100" TargetMode="External"/><Relationship Id="rId13" Type="http://schemas.openxmlformats.org/officeDocument/2006/relationships/hyperlink" Target="https://wapp.registraduria.gov.co/identificacion/cedula-digital/conoce-mas.html" TargetMode="External"/><Relationship Id="rId3" Type="http://schemas.openxmlformats.org/officeDocument/2006/relationships/hyperlink" Target="https://siicor.corteconstitucional.gov.co/controldeprocesos/file.php?archivo=008_MemorialWeb_Respuesta.pdf&amp;var=11001333501520240006100-(2024-03-18%2021-25-07)-1710815107-9.pdf&amp;anio=2024&amp;R=1&amp;expediente=11001333501520240006100" TargetMode="External"/><Relationship Id="rId7" Type="http://schemas.openxmlformats.org/officeDocument/2006/relationships/hyperlink" Target="https://siicor.corteconstitucional.gov.co/controldeprocesos/file.php?archivo=SGE-CE-0658-2024.pdf&amp;var=11001333501520240006100-(2024-07-22%2018-16-40)-1721690200-41.pdf&amp;anio=2024&amp;R=1&amp;expediente=11001333501520240006100" TargetMode="External"/><Relationship Id="rId12" Type="http://schemas.openxmlformats.org/officeDocument/2006/relationships/hyperlink" Target="https://wapp.registraduria.gov.co/identificacion/cedula-digital/" TargetMode="External"/><Relationship Id="rId2" Type="http://schemas.openxmlformats.org/officeDocument/2006/relationships/hyperlink" Target="https://siicor.corteconstitucional.gov.co/controldeprocesos/file.php?archivo=004AUTOADMITEDEM202400061ADMITEPDF.pdf&amp;var=11001333501520240006100-(2024-03-18%2021-25-07)-1710815107-4.pdf&amp;anio=2024&amp;R=1&amp;expediente=11001333501520240006100" TargetMode="External"/><Relationship Id="rId1" Type="http://schemas.openxmlformats.org/officeDocument/2006/relationships/hyperlink" Target="https://siicor.corteconstitucional.gov.co/controldeprocesos/file.php?archivo=001RADICACIONOFIC8DA3461988C84FCF8D8E03DC26E26EC2PDF.pdf&amp;var=11001333501520240006100-(2024-03-18%2021-25-07)-1710815107-1.pdf&amp;anio=2024&amp;R=1&amp;expediente=11001333501520240006100" TargetMode="External"/><Relationship Id="rId6" Type="http://schemas.openxmlformats.org/officeDocument/2006/relationships/hyperlink" Target="https://siicor.corteconstitucional.gov.co/controldeprocesos/file.php?archivo=T-10.141.790_Auto_de_pruebas.pdf&amp;var=11001333501520240006100-(2024-07-22%2018-16-40)-1721690200-42.pdf&amp;anio=2024&amp;R=1&amp;expediente=11001333501520240006100" TargetMode="External"/><Relationship Id="rId11" Type="http://schemas.openxmlformats.org/officeDocument/2006/relationships/hyperlink" Target="https://www.alcaldiabogota.gov.co/sisjur/normas/Norma1.jsp?i=8256" TargetMode="External"/><Relationship Id="rId5" Type="http://schemas.openxmlformats.org/officeDocument/2006/relationships/hyperlink" Target="https://siicor.corteconstitucional.gov.co/controldeprocesos/file.php?archivo=013SENTENCIATUTEL_202400061SENTENCIAPD.pdf&amp;var=11001333501520240006100-(2024-03-18%2021-25-07)-1710815107-13.pdf&amp;anio=2024&amp;R=1&amp;expediente=11001333501520240006100" TargetMode="External"/><Relationship Id="rId10" Type="http://schemas.openxmlformats.org/officeDocument/2006/relationships/hyperlink" Target="https://siicor.corteconstitucional.gov.co/controldeprocesos/file.php?archivo=T-10.141.790_OPTB-225-24.pdf&amp;var=11001333501520240006100-(2024-07-22%2018-16-25)-1721690185-38.pdf&amp;anio=2024&amp;R=1&amp;expediente=11001333501520240006100" TargetMode="External"/><Relationship Id="rId4" Type="http://schemas.openxmlformats.org/officeDocument/2006/relationships/hyperlink" Target="https://siicor.corteconstitucional.gov.co/controldeprocesos/file.php?archivo=008_MemorialWeb_Respuesta_Indice_10_2.pdf&amp;var=11001333501520240006100-(2024-03-18%2021-25-07)-1710815107-12.pdf&amp;anio=2024&amp;R=1&amp;expediente=11001333501520240006100" TargetMode="External"/><Relationship Id="rId9" Type="http://schemas.openxmlformats.org/officeDocument/2006/relationships/hyperlink" Target="https://siicor.corteconstitucional.gov.co/controldeprocesos/file.php?archivo=AT%20TONNY%20ALBERTO%20GUALDRON%20PACHECO%200906%202024%20-%20Auto%20Corte%20Constitucional.pdf&amp;var=11001333501520240006100-(2024-08-05%2007-06-29)-1722859589-48.pdf&amp;anio=2024&amp;R=1&amp;expediente=11001333501520240006100" TargetMode="External"/><Relationship Id="rId14" Type="http://schemas.openxmlformats.org/officeDocument/2006/relationships/hyperlink" Target="https://siicor.corteconstitucional.gov.co/controldeprocesos/file.php?archivo=AT%20TONNY%20ALBERTO%20GUALDRON%20PACHECO%200906%202024%20-%20Auto%20Corte%20Constitucional.pdf&amp;var=11001333501520240006100-(2024-08-05%2007-06-29)-1722859589-48.pdf&amp;anio=2024&amp;R=1&amp;expediente=1100133350152024000610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15910</Words>
  <Characters>87511</Characters>
  <Application>Microsoft Office Word</Application>
  <DocSecurity>0</DocSecurity>
  <Lines>729</Lines>
  <Paragraphs>206</Paragraphs>
  <ScaleCrop>false</ScaleCrop>
  <Company/>
  <LinksUpToDate>false</LinksUpToDate>
  <CharactersWithSpaces>103215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UsrIIS</dc:creator>
  <cp:keywords/>
  <dc:description/>
  <cp:lastModifiedBy>UsrIIS</cp:lastModifiedBy>
  <cp:revision>2</cp:revision>
  <dcterms:created xsi:type="dcterms:W3CDTF">2025-02-04T20:43:00Z</dcterms:created>
  <dcterms:modified xsi:type="dcterms:W3CDTF">2025-02-04T20:43:00Z</dcterms:modified>
</cp:coreProperties>
</file>